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375" w:rsidRDefault="007B0031">
      <w:pPr>
        <w:spacing w:line="560" w:lineRule="exact"/>
        <w:jc w:val="center"/>
        <w:outlineLvl w:val="0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部门整体绩效评价报告</w:t>
      </w:r>
    </w:p>
    <w:p w:rsidR="00AA0375" w:rsidRDefault="00AA0375">
      <w:pPr>
        <w:jc w:val="center"/>
        <w:rPr>
          <w:rFonts w:ascii="仿宋_GB2312"/>
          <w:szCs w:val="30"/>
        </w:rPr>
      </w:pPr>
    </w:p>
    <w:p w:rsidR="00AA0375" w:rsidRDefault="007B0031">
      <w:pPr>
        <w:spacing w:line="600" w:lineRule="exact"/>
        <w:ind w:firstLineChars="200" w:firstLine="640"/>
        <w:outlineLvl w:val="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一、部门概况</w:t>
      </w:r>
    </w:p>
    <w:p w:rsidR="00AA0375" w:rsidRDefault="007B0031">
      <w:pPr>
        <w:spacing w:line="600" w:lineRule="exact"/>
        <w:ind w:firstLineChars="200" w:firstLine="640"/>
        <w:outlineLvl w:val="1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（一）机构设置及职责工作任务情况</w:t>
      </w:r>
    </w:p>
    <w:p w:rsidR="00AA0375" w:rsidRDefault="007B0031">
      <w:pPr>
        <w:spacing w:line="600" w:lineRule="exact"/>
        <w:ind w:firstLineChars="200" w:firstLine="600"/>
        <w:outlineLvl w:val="2"/>
        <w:rPr>
          <w:rStyle w:val="NormalCharacter"/>
          <w:rFonts w:ascii="仿宋" w:eastAsia="仿宋" w:hAnsi="仿宋"/>
          <w:kern w:val="0"/>
          <w:sz w:val="30"/>
          <w:szCs w:val="30"/>
        </w:rPr>
      </w:pPr>
      <w:r>
        <w:rPr>
          <w:rStyle w:val="NormalCharacter"/>
          <w:rFonts w:ascii="仿宋" w:eastAsia="仿宋" w:hAnsi="仿宋" w:hint="eastAsia"/>
          <w:kern w:val="0"/>
          <w:sz w:val="30"/>
          <w:szCs w:val="30"/>
        </w:rPr>
        <w:t>1.</w:t>
      </w:r>
      <w:r>
        <w:rPr>
          <w:rStyle w:val="NormalCharacter"/>
          <w:rFonts w:ascii="仿宋" w:eastAsia="仿宋" w:hAnsi="仿宋" w:hint="eastAsia"/>
          <w:kern w:val="0"/>
          <w:sz w:val="30"/>
          <w:szCs w:val="30"/>
        </w:rPr>
        <w:t>机构</w:t>
      </w:r>
      <w:r>
        <w:rPr>
          <w:rStyle w:val="NormalCharacter"/>
          <w:rFonts w:ascii="仿宋" w:eastAsia="仿宋" w:hAnsi="仿宋"/>
          <w:kern w:val="0"/>
          <w:sz w:val="30"/>
          <w:szCs w:val="30"/>
        </w:rPr>
        <w:t>设置</w:t>
      </w:r>
    </w:p>
    <w:p w:rsidR="00AA0375" w:rsidRDefault="007B0031">
      <w:pPr>
        <w:spacing w:line="600" w:lineRule="exact"/>
        <w:ind w:firstLineChars="200" w:firstLine="600"/>
        <w:outlineLvl w:val="3"/>
        <w:rPr>
          <w:rStyle w:val="NormalCharacter"/>
          <w:rFonts w:ascii="仿宋" w:eastAsia="仿宋" w:hAnsi="仿宋"/>
          <w:kern w:val="0"/>
          <w:sz w:val="30"/>
          <w:szCs w:val="30"/>
        </w:rPr>
      </w:pPr>
      <w:r>
        <w:rPr>
          <w:rStyle w:val="NormalCharacter"/>
          <w:rFonts w:ascii="仿宋" w:eastAsia="仿宋" w:hAnsi="仿宋" w:hint="eastAsia"/>
          <w:kern w:val="0"/>
          <w:sz w:val="30"/>
          <w:szCs w:val="30"/>
        </w:rPr>
        <w:t>（</w:t>
      </w:r>
      <w:r>
        <w:rPr>
          <w:rStyle w:val="NormalCharacter"/>
          <w:rFonts w:ascii="仿宋" w:eastAsia="仿宋" w:hAnsi="仿宋" w:hint="eastAsia"/>
          <w:kern w:val="0"/>
          <w:sz w:val="30"/>
          <w:szCs w:val="30"/>
        </w:rPr>
        <w:t>1</w:t>
      </w:r>
      <w:r>
        <w:rPr>
          <w:rStyle w:val="NormalCharacter"/>
          <w:rFonts w:ascii="仿宋" w:eastAsia="仿宋" w:hAnsi="仿宋" w:hint="eastAsia"/>
          <w:kern w:val="0"/>
          <w:sz w:val="30"/>
          <w:szCs w:val="30"/>
        </w:rPr>
        <w:t>）</w:t>
      </w:r>
      <w:r>
        <w:rPr>
          <w:rStyle w:val="NormalCharacter"/>
          <w:rFonts w:ascii="仿宋" w:eastAsia="仿宋" w:hAnsi="仿宋"/>
          <w:bCs w:val="0"/>
          <w:kern w:val="0"/>
          <w:sz w:val="30"/>
          <w:szCs w:val="30"/>
        </w:rPr>
        <w:t>组织机构情况</w:t>
      </w:r>
    </w:p>
    <w:p w:rsidR="00AA0375" w:rsidRDefault="007B0031">
      <w:pPr>
        <w:spacing w:line="600" w:lineRule="exact"/>
        <w:ind w:firstLineChars="200" w:firstLine="600"/>
        <w:rPr>
          <w:rStyle w:val="NormalCharacter"/>
          <w:rFonts w:ascii="仿宋" w:eastAsia="仿宋" w:hAnsi="仿宋"/>
          <w:kern w:val="0"/>
          <w:sz w:val="30"/>
          <w:szCs w:val="30"/>
        </w:rPr>
      </w:pPr>
      <w:r>
        <w:rPr>
          <w:rStyle w:val="NormalCharacter"/>
          <w:rFonts w:ascii="仿宋" w:eastAsia="仿宋" w:hAnsi="仿宋" w:hint="eastAsia"/>
          <w:kern w:val="0"/>
          <w:sz w:val="30"/>
          <w:szCs w:val="30"/>
        </w:rPr>
        <w:t>北京市朝阳区人民法院于</w:t>
      </w:r>
      <w:r>
        <w:rPr>
          <w:rStyle w:val="NormalCharacter"/>
          <w:rFonts w:ascii="仿宋" w:eastAsia="仿宋" w:hAnsi="仿宋" w:hint="eastAsia"/>
          <w:kern w:val="0"/>
          <w:sz w:val="30"/>
          <w:szCs w:val="30"/>
        </w:rPr>
        <w:t>1952</w:t>
      </w:r>
      <w:r>
        <w:rPr>
          <w:rStyle w:val="NormalCharacter"/>
          <w:rFonts w:ascii="仿宋" w:eastAsia="仿宋" w:hAnsi="仿宋" w:hint="eastAsia"/>
          <w:kern w:val="0"/>
          <w:sz w:val="30"/>
          <w:szCs w:val="30"/>
        </w:rPr>
        <w:t>年建院。单位性质为行政单位，是国家的审判机关。法院现有</w:t>
      </w:r>
      <w:r>
        <w:rPr>
          <w:rStyle w:val="NormalCharacter"/>
          <w:rFonts w:ascii="仿宋" w:eastAsia="仿宋" w:hAnsi="仿宋" w:hint="eastAsia"/>
          <w:kern w:val="0"/>
          <w:sz w:val="30"/>
          <w:szCs w:val="30"/>
        </w:rPr>
        <w:t>22</w:t>
      </w:r>
      <w:r>
        <w:rPr>
          <w:rStyle w:val="NormalCharacter"/>
          <w:rFonts w:ascii="仿宋" w:eastAsia="仿宋" w:hAnsi="仿宋" w:hint="eastAsia"/>
          <w:kern w:val="0"/>
          <w:sz w:val="30"/>
          <w:szCs w:val="30"/>
        </w:rPr>
        <w:t>个部门，其中：审判业务机构</w:t>
      </w:r>
      <w:r>
        <w:rPr>
          <w:rStyle w:val="NormalCharacter"/>
          <w:rFonts w:ascii="仿宋" w:eastAsia="仿宋" w:hAnsi="仿宋" w:hint="eastAsia"/>
          <w:kern w:val="0"/>
          <w:sz w:val="30"/>
          <w:szCs w:val="30"/>
        </w:rPr>
        <w:t>19</w:t>
      </w:r>
      <w:r>
        <w:rPr>
          <w:rStyle w:val="NormalCharacter"/>
          <w:rFonts w:ascii="仿宋" w:eastAsia="仿宋" w:hAnsi="仿宋" w:hint="eastAsia"/>
          <w:kern w:val="0"/>
          <w:sz w:val="30"/>
          <w:szCs w:val="30"/>
        </w:rPr>
        <w:t>个，非审判业务机构</w:t>
      </w:r>
      <w:r>
        <w:rPr>
          <w:rStyle w:val="NormalCharacter"/>
          <w:rFonts w:ascii="仿宋" w:eastAsia="仿宋" w:hAnsi="仿宋" w:hint="eastAsia"/>
          <w:kern w:val="0"/>
          <w:sz w:val="30"/>
          <w:szCs w:val="30"/>
        </w:rPr>
        <w:t>3</w:t>
      </w:r>
      <w:r>
        <w:rPr>
          <w:rStyle w:val="NormalCharacter"/>
          <w:rFonts w:ascii="仿宋" w:eastAsia="仿宋" w:hAnsi="仿宋" w:hint="eastAsia"/>
          <w:kern w:val="0"/>
          <w:sz w:val="30"/>
          <w:szCs w:val="30"/>
        </w:rPr>
        <w:t>个。包括：立案庭（诉讼服务中心）、刑事审判庭、民事审判一庭、民事审判二庭、执行局、政治部（机关党委、机关纪委）、综合办公室等部门。</w:t>
      </w:r>
    </w:p>
    <w:p w:rsidR="00AA0375" w:rsidRDefault="007B0031">
      <w:pPr>
        <w:spacing w:line="600" w:lineRule="exact"/>
        <w:ind w:firstLineChars="200" w:firstLine="600"/>
        <w:outlineLvl w:val="3"/>
        <w:rPr>
          <w:rStyle w:val="NormalCharacter"/>
          <w:rFonts w:ascii="仿宋" w:eastAsia="仿宋" w:hAnsi="仿宋"/>
          <w:kern w:val="0"/>
          <w:sz w:val="30"/>
          <w:szCs w:val="30"/>
        </w:rPr>
      </w:pPr>
      <w:r>
        <w:rPr>
          <w:rStyle w:val="NormalCharacter"/>
          <w:rFonts w:ascii="仿宋" w:eastAsia="仿宋" w:hAnsi="仿宋" w:hint="eastAsia"/>
          <w:kern w:val="0"/>
          <w:sz w:val="30"/>
          <w:szCs w:val="30"/>
        </w:rPr>
        <w:t>（</w:t>
      </w:r>
      <w:r>
        <w:rPr>
          <w:rStyle w:val="NormalCharacter"/>
          <w:rFonts w:ascii="仿宋" w:eastAsia="仿宋" w:hAnsi="仿宋" w:hint="eastAsia"/>
          <w:kern w:val="0"/>
          <w:sz w:val="30"/>
          <w:szCs w:val="30"/>
        </w:rPr>
        <w:t>2</w:t>
      </w:r>
      <w:r>
        <w:rPr>
          <w:rStyle w:val="NormalCharacter"/>
          <w:rFonts w:ascii="仿宋" w:eastAsia="仿宋" w:hAnsi="仿宋" w:hint="eastAsia"/>
          <w:kern w:val="0"/>
          <w:sz w:val="30"/>
          <w:szCs w:val="30"/>
        </w:rPr>
        <w:t>）人员</w:t>
      </w:r>
      <w:r>
        <w:rPr>
          <w:rStyle w:val="NormalCharacter"/>
          <w:rFonts w:ascii="仿宋" w:eastAsia="仿宋" w:hAnsi="仿宋"/>
          <w:kern w:val="0"/>
          <w:sz w:val="30"/>
          <w:szCs w:val="30"/>
        </w:rPr>
        <w:t>构成情况</w:t>
      </w:r>
    </w:p>
    <w:p w:rsidR="00AA0375" w:rsidRDefault="007B0031">
      <w:pPr>
        <w:spacing w:line="600" w:lineRule="exact"/>
        <w:ind w:firstLineChars="200" w:firstLine="600"/>
        <w:rPr>
          <w:rStyle w:val="NormalCharacter"/>
          <w:rFonts w:ascii="仿宋" w:eastAsia="仿宋" w:hAnsi="仿宋"/>
          <w:kern w:val="0"/>
          <w:sz w:val="30"/>
          <w:szCs w:val="30"/>
        </w:rPr>
      </w:pPr>
      <w:r>
        <w:rPr>
          <w:rStyle w:val="NormalCharacter"/>
          <w:rFonts w:ascii="仿宋" w:eastAsia="仿宋" w:hAnsi="仿宋" w:hint="eastAsia"/>
          <w:kern w:val="0"/>
          <w:sz w:val="30"/>
          <w:szCs w:val="30"/>
        </w:rPr>
        <w:t>我院</w:t>
      </w:r>
      <w:r>
        <w:rPr>
          <w:rStyle w:val="NormalCharacter"/>
          <w:rFonts w:ascii="仿宋" w:eastAsia="仿宋" w:hAnsi="仿宋"/>
          <w:kern w:val="0"/>
          <w:sz w:val="30"/>
          <w:szCs w:val="30"/>
        </w:rPr>
        <w:t>行政编制</w:t>
      </w:r>
      <w:r>
        <w:rPr>
          <w:rStyle w:val="NormalCharacter"/>
          <w:rFonts w:ascii="仿宋" w:eastAsia="仿宋" w:hAnsi="仿宋"/>
          <w:kern w:val="0"/>
          <w:sz w:val="30"/>
          <w:szCs w:val="30"/>
        </w:rPr>
        <w:t>598</w:t>
      </w:r>
      <w:r>
        <w:rPr>
          <w:rStyle w:val="NormalCharacter"/>
          <w:rFonts w:ascii="仿宋" w:eastAsia="仿宋" w:hAnsi="仿宋"/>
          <w:kern w:val="0"/>
          <w:sz w:val="30"/>
          <w:szCs w:val="30"/>
        </w:rPr>
        <w:t>人，实际</w:t>
      </w:r>
      <w:r>
        <w:rPr>
          <w:rFonts w:hint="eastAsia"/>
          <w:sz w:val="28"/>
          <w:szCs w:val="28"/>
        </w:rPr>
        <w:t>582</w:t>
      </w:r>
      <w:r>
        <w:rPr>
          <w:rStyle w:val="NormalCharacter"/>
          <w:rFonts w:ascii="仿宋" w:eastAsia="仿宋" w:hAnsi="仿宋"/>
          <w:kern w:val="0"/>
          <w:sz w:val="30"/>
          <w:szCs w:val="30"/>
        </w:rPr>
        <w:t>人；事业编制</w:t>
      </w:r>
      <w:r>
        <w:rPr>
          <w:rStyle w:val="NormalCharacter"/>
          <w:rFonts w:ascii="仿宋" w:eastAsia="仿宋" w:hAnsi="仿宋"/>
          <w:kern w:val="0"/>
          <w:sz w:val="30"/>
          <w:szCs w:val="30"/>
        </w:rPr>
        <w:t>81</w:t>
      </w:r>
      <w:r>
        <w:rPr>
          <w:rStyle w:val="NormalCharacter"/>
          <w:rFonts w:ascii="仿宋" w:eastAsia="仿宋" w:hAnsi="仿宋"/>
          <w:kern w:val="0"/>
          <w:sz w:val="30"/>
          <w:szCs w:val="30"/>
        </w:rPr>
        <w:t>人，实际</w:t>
      </w:r>
      <w:r>
        <w:rPr>
          <w:rStyle w:val="NormalCharacter"/>
          <w:rFonts w:ascii="仿宋" w:eastAsia="仿宋" w:hAnsi="仿宋"/>
          <w:kern w:val="0"/>
          <w:sz w:val="30"/>
          <w:szCs w:val="30"/>
        </w:rPr>
        <w:t>75</w:t>
      </w:r>
      <w:r>
        <w:rPr>
          <w:rStyle w:val="NormalCharacter"/>
          <w:rFonts w:ascii="仿宋" w:eastAsia="仿宋" w:hAnsi="仿宋"/>
          <w:kern w:val="0"/>
          <w:sz w:val="30"/>
          <w:szCs w:val="30"/>
        </w:rPr>
        <w:t>人；聘用人员</w:t>
      </w:r>
      <w:r>
        <w:rPr>
          <w:rStyle w:val="NormalCharacter"/>
          <w:rFonts w:ascii="仿宋" w:eastAsia="仿宋" w:hAnsi="仿宋" w:hint="eastAsia"/>
          <w:kern w:val="0"/>
          <w:sz w:val="30"/>
          <w:szCs w:val="30"/>
        </w:rPr>
        <w:t>(</w:t>
      </w:r>
      <w:r>
        <w:rPr>
          <w:rStyle w:val="NormalCharacter"/>
          <w:rFonts w:ascii="仿宋" w:eastAsia="仿宋" w:hAnsi="仿宋" w:hint="eastAsia"/>
          <w:kern w:val="0"/>
          <w:sz w:val="30"/>
          <w:szCs w:val="30"/>
        </w:rPr>
        <w:t>法院</w:t>
      </w:r>
      <w:r>
        <w:rPr>
          <w:rStyle w:val="NormalCharacter"/>
          <w:rFonts w:ascii="仿宋" w:eastAsia="仿宋" w:hAnsi="仿宋"/>
          <w:kern w:val="0"/>
          <w:sz w:val="30"/>
          <w:szCs w:val="30"/>
        </w:rPr>
        <w:t>聘任书记员、聘用制司法警察、其他聘用人员</w:t>
      </w:r>
      <w:r>
        <w:rPr>
          <w:rStyle w:val="NormalCharacter"/>
          <w:rFonts w:ascii="仿宋" w:eastAsia="仿宋" w:hAnsi="仿宋"/>
          <w:kern w:val="0"/>
          <w:sz w:val="30"/>
          <w:szCs w:val="30"/>
        </w:rPr>
        <w:t>-</w:t>
      </w:r>
      <w:r>
        <w:rPr>
          <w:rStyle w:val="NormalCharacter"/>
          <w:rFonts w:ascii="仿宋" w:eastAsia="仿宋" w:hAnsi="仿宋"/>
          <w:kern w:val="0"/>
          <w:sz w:val="30"/>
          <w:szCs w:val="30"/>
        </w:rPr>
        <w:t>临时工</w:t>
      </w:r>
      <w:r>
        <w:rPr>
          <w:rStyle w:val="NormalCharacter"/>
          <w:rFonts w:ascii="仿宋" w:eastAsia="仿宋" w:hAnsi="仿宋" w:hint="eastAsia"/>
          <w:kern w:val="0"/>
          <w:sz w:val="30"/>
          <w:szCs w:val="30"/>
        </w:rPr>
        <w:t>)</w:t>
      </w:r>
      <w:r>
        <w:rPr>
          <w:rFonts w:hint="eastAsia"/>
          <w:sz w:val="28"/>
          <w:szCs w:val="28"/>
        </w:rPr>
        <w:t>345</w:t>
      </w:r>
      <w:r>
        <w:rPr>
          <w:rStyle w:val="NormalCharacter"/>
          <w:rFonts w:ascii="仿宋" w:eastAsia="仿宋" w:hAnsi="仿宋"/>
          <w:kern w:val="0"/>
          <w:sz w:val="30"/>
          <w:szCs w:val="30"/>
        </w:rPr>
        <w:t>人。</w:t>
      </w:r>
    </w:p>
    <w:p w:rsidR="00AA0375" w:rsidRDefault="007B0031">
      <w:pPr>
        <w:spacing w:line="600" w:lineRule="exact"/>
        <w:ind w:firstLineChars="200" w:firstLine="600"/>
        <w:rPr>
          <w:rStyle w:val="NormalCharacter"/>
          <w:rFonts w:ascii="仿宋" w:eastAsia="仿宋" w:hAnsi="仿宋"/>
          <w:kern w:val="0"/>
          <w:sz w:val="30"/>
          <w:szCs w:val="30"/>
        </w:rPr>
      </w:pPr>
      <w:r>
        <w:rPr>
          <w:rStyle w:val="NormalCharacter"/>
          <w:rFonts w:ascii="仿宋" w:eastAsia="仿宋" w:hAnsi="仿宋"/>
          <w:kern w:val="0"/>
          <w:sz w:val="30"/>
          <w:szCs w:val="30"/>
        </w:rPr>
        <w:t>离退休人员</w:t>
      </w:r>
      <w:r>
        <w:rPr>
          <w:rFonts w:hint="eastAsia"/>
          <w:sz w:val="28"/>
          <w:szCs w:val="28"/>
        </w:rPr>
        <w:t>144</w:t>
      </w:r>
      <w:r>
        <w:rPr>
          <w:rStyle w:val="NormalCharacter"/>
          <w:rFonts w:ascii="仿宋" w:eastAsia="仿宋" w:hAnsi="仿宋"/>
          <w:kern w:val="0"/>
          <w:sz w:val="30"/>
          <w:szCs w:val="30"/>
        </w:rPr>
        <w:t>人，其中：离休</w:t>
      </w:r>
      <w:r>
        <w:rPr>
          <w:rStyle w:val="NormalCharacter"/>
          <w:rFonts w:ascii="仿宋" w:eastAsia="仿宋" w:hAnsi="仿宋"/>
          <w:kern w:val="0"/>
          <w:sz w:val="30"/>
          <w:szCs w:val="30"/>
        </w:rPr>
        <w:t>2</w:t>
      </w:r>
      <w:r>
        <w:rPr>
          <w:rStyle w:val="NormalCharacter"/>
          <w:rFonts w:ascii="仿宋" w:eastAsia="仿宋" w:hAnsi="仿宋"/>
          <w:kern w:val="0"/>
          <w:sz w:val="30"/>
          <w:szCs w:val="30"/>
        </w:rPr>
        <w:t>人，退休</w:t>
      </w:r>
      <w:r>
        <w:rPr>
          <w:rStyle w:val="NormalCharacter"/>
          <w:rFonts w:ascii="仿宋" w:eastAsia="仿宋" w:hAnsi="仿宋" w:hint="eastAsia"/>
          <w:kern w:val="0"/>
          <w:sz w:val="30"/>
          <w:szCs w:val="30"/>
        </w:rPr>
        <w:t>142</w:t>
      </w:r>
      <w:r>
        <w:rPr>
          <w:rStyle w:val="NormalCharacter"/>
          <w:rFonts w:ascii="仿宋" w:eastAsia="仿宋" w:hAnsi="仿宋"/>
          <w:kern w:val="0"/>
          <w:sz w:val="30"/>
          <w:szCs w:val="30"/>
        </w:rPr>
        <w:t>人。</w:t>
      </w:r>
    </w:p>
    <w:p w:rsidR="00AA0375" w:rsidRDefault="007B0031">
      <w:pPr>
        <w:spacing w:line="600" w:lineRule="exact"/>
        <w:ind w:firstLineChars="200" w:firstLine="600"/>
        <w:outlineLvl w:val="2"/>
        <w:rPr>
          <w:rStyle w:val="NormalCharacter"/>
          <w:rFonts w:ascii="仿宋" w:eastAsia="仿宋" w:hAnsi="仿宋"/>
          <w:kern w:val="0"/>
          <w:sz w:val="30"/>
          <w:szCs w:val="30"/>
        </w:rPr>
      </w:pPr>
      <w:r>
        <w:rPr>
          <w:rStyle w:val="NormalCharacter"/>
          <w:rFonts w:ascii="仿宋" w:eastAsia="仿宋" w:hAnsi="仿宋" w:hint="eastAsia"/>
          <w:kern w:val="0"/>
          <w:sz w:val="30"/>
          <w:szCs w:val="30"/>
        </w:rPr>
        <w:t>2.</w:t>
      </w:r>
      <w:r>
        <w:rPr>
          <w:rStyle w:val="NormalCharacter"/>
          <w:rFonts w:ascii="仿宋" w:eastAsia="仿宋" w:hAnsi="仿宋" w:hint="eastAsia"/>
          <w:kern w:val="0"/>
          <w:sz w:val="30"/>
          <w:szCs w:val="30"/>
        </w:rPr>
        <w:t>部门</w:t>
      </w:r>
      <w:r>
        <w:rPr>
          <w:rStyle w:val="NormalCharacter"/>
          <w:rFonts w:ascii="仿宋" w:eastAsia="仿宋" w:hAnsi="仿宋"/>
          <w:kern w:val="0"/>
          <w:sz w:val="30"/>
          <w:szCs w:val="30"/>
        </w:rPr>
        <w:t>职能</w:t>
      </w:r>
    </w:p>
    <w:p w:rsidR="00AA0375" w:rsidRDefault="007B0031">
      <w:pPr>
        <w:spacing w:line="600" w:lineRule="exact"/>
        <w:ind w:firstLineChars="200" w:firstLine="600"/>
        <w:rPr>
          <w:rStyle w:val="NormalCharacter"/>
          <w:rFonts w:ascii="仿宋" w:eastAsia="仿宋" w:hAnsi="仿宋"/>
          <w:kern w:val="0"/>
          <w:sz w:val="30"/>
          <w:szCs w:val="30"/>
        </w:rPr>
      </w:pPr>
      <w:r>
        <w:rPr>
          <w:rStyle w:val="NormalCharacter"/>
          <w:rFonts w:ascii="仿宋" w:eastAsia="仿宋" w:hAnsi="仿宋" w:hint="eastAsia"/>
          <w:kern w:val="0"/>
          <w:sz w:val="30"/>
          <w:szCs w:val="30"/>
        </w:rPr>
        <w:t>我院的职责是审理辖区内刑事、民商事和行政等案件，依法执行已发生法律效力的判决、裁定以及国家行政机关依法申请执行的案件。</w:t>
      </w:r>
    </w:p>
    <w:p w:rsidR="00AA0375" w:rsidRDefault="007B0031">
      <w:pPr>
        <w:spacing w:line="600" w:lineRule="exact"/>
        <w:ind w:firstLineChars="200" w:firstLine="640"/>
        <w:outlineLvl w:val="1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（二）部门整体绩效目标设立情况</w:t>
      </w:r>
    </w:p>
    <w:p w:rsidR="00AA0375" w:rsidRDefault="007B0031">
      <w:pPr>
        <w:spacing w:line="600" w:lineRule="exact"/>
        <w:ind w:firstLineChars="200"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我院将在区委、区委政法委领导和上级法院指导下，坚持以习近平新时代中国特色社会主义思想为指导，深入学习宣传贯彻</w:t>
      </w:r>
      <w:r>
        <w:rPr>
          <w:rFonts w:ascii="仿宋" w:eastAsia="仿宋" w:hAnsi="仿宋" w:cs="仿宋_GB2312" w:hint="eastAsia"/>
          <w:sz w:val="30"/>
          <w:szCs w:val="30"/>
        </w:rPr>
        <w:lastRenderedPageBreak/>
        <w:t>党的二十大精神，深刻领悟“两个确立”的决定性意义，增强“四个意识”、坚定“四个自信”、做到“两个维护”，牢牢坚持党对法院工作的绝对领导，仅仅围绕“三化”主攻方向、聚焦“四区”建设目标，严格公正执法、忠诚履职尽责，为区域经济社会发展和安全稳定提供有力司法服务和保障。</w:t>
      </w:r>
    </w:p>
    <w:p w:rsidR="00AA0375" w:rsidRDefault="007B0031">
      <w:pPr>
        <w:spacing w:line="600" w:lineRule="exact"/>
        <w:ind w:firstLineChars="200" w:firstLine="640"/>
        <w:outlineLvl w:val="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二</w:t>
      </w:r>
      <w:r>
        <w:rPr>
          <w:rFonts w:ascii="黑体" w:eastAsia="黑体" w:hAnsi="黑体" w:cs="宋体"/>
          <w:color w:val="000000"/>
          <w:kern w:val="0"/>
          <w:sz w:val="32"/>
          <w:szCs w:val="32"/>
        </w:rPr>
        <w:t>、</w:t>
      </w: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当年</w:t>
      </w:r>
      <w:r>
        <w:rPr>
          <w:rFonts w:ascii="黑体" w:eastAsia="黑体" w:hAnsi="黑体" w:cs="宋体"/>
          <w:color w:val="000000"/>
          <w:kern w:val="0"/>
          <w:sz w:val="32"/>
          <w:szCs w:val="32"/>
        </w:rPr>
        <w:t>预算执行情况</w:t>
      </w:r>
    </w:p>
    <w:p w:rsidR="00AA0375" w:rsidRDefault="007B0031">
      <w:pPr>
        <w:spacing w:line="600" w:lineRule="exact"/>
        <w:ind w:firstLineChars="200"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2023</w:t>
      </w:r>
      <w:r>
        <w:rPr>
          <w:rFonts w:ascii="仿宋" w:eastAsia="仿宋" w:hAnsi="仿宋" w:cs="仿宋_GB2312" w:hint="eastAsia"/>
          <w:sz w:val="30"/>
          <w:szCs w:val="30"/>
        </w:rPr>
        <w:t>年</w:t>
      </w:r>
      <w:r>
        <w:rPr>
          <w:rFonts w:ascii="仿宋" w:eastAsia="仿宋" w:hAnsi="仿宋" w:cs="仿宋_GB2312"/>
          <w:sz w:val="30"/>
          <w:szCs w:val="30"/>
        </w:rPr>
        <w:t>全年</w:t>
      </w:r>
      <w:r>
        <w:rPr>
          <w:rFonts w:ascii="仿宋" w:eastAsia="仿宋" w:hAnsi="仿宋" w:cs="仿宋_GB2312" w:hint="eastAsia"/>
          <w:sz w:val="30"/>
          <w:szCs w:val="30"/>
        </w:rPr>
        <w:t>预算数</w:t>
      </w:r>
      <w:r>
        <w:rPr>
          <w:rFonts w:ascii="仿宋" w:eastAsia="仿宋" w:hAnsi="仿宋" w:cs="仿宋_GB2312"/>
          <w:sz w:val="30"/>
          <w:szCs w:val="30"/>
        </w:rPr>
        <w:t>51220.19</w:t>
      </w:r>
      <w:r>
        <w:rPr>
          <w:rFonts w:ascii="仿宋" w:eastAsia="仿宋" w:hAnsi="仿宋" w:cs="仿宋_GB2312" w:hint="eastAsia"/>
          <w:sz w:val="30"/>
          <w:szCs w:val="30"/>
        </w:rPr>
        <w:t>万元</w:t>
      </w:r>
      <w:r>
        <w:rPr>
          <w:rFonts w:ascii="仿宋" w:eastAsia="仿宋" w:hAnsi="仿宋" w:cs="仿宋_GB2312"/>
          <w:sz w:val="30"/>
          <w:szCs w:val="30"/>
        </w:rPr>
        <w:t>，</w:t>
      </w:r>
      <w:r>
        <w:rPr>
          <w:rFonts w:ascii="仿宋" w:eastAsia="仿宋" w:hAnsi="仿宋" w:cs="仿宋_GB2312" w:hint="eastAsia"/>
          <w:sz w:val="30"/>
          <w:szCs w:val="30"/>
        </w:rPr>
        <w:t>其中</w:t>
      </w:r>
      <w:r>
        <w:rPr>
          <w:rFonts w:ascii="仿宋" w:eastAsia="仿宋" w:hAnsi="仿宋" w:cs="仿宋_GB2312"/>
          <w:sz w:val="30"/>
          <w:szCs w:val="30"/>
        </w:rPr>
        <w:t>，基本</w:t>
      </w:r>
      <w:r>
        <w:rPr>
          <w:rFonts w:ascii="仿宋" w:eastAsia="仿宋" w:hAnsi="仿宋" w:cs="仿宋_GB2312" w:hint="eastAsia"/>
          <w:sz w:val="30"/>
          <w:szCs w:val="30"/>
        </w:rPr>
        <w:t>支出</w:t>
      </w:r>
      <w:r>
        <w:rPr>
          <w:rFonts w:ascii="仿宋" w:eastAsia="仿宋" w:hAnsi="仿宋" w:cs="仿宋_GB2312"/>
          <w:sz w:val="30"/>
          <w:szCs w:val="30"/>
        </w:rPr>
        <w:t>预算数</w:t>
      </w:r>
      <w:r>
        <w:rPr>
          <w:rFonts w:ascii="仿宋" w:eastAsia="仿宋" w:hAnsi="仿宋" w:cs="仿宋_GB2312" w:hint="eastAsia"/>
          <w:sz w:val="30"/>
          <w:szCs w:val="30"/>
        </w:rPr>
        <w:t>36450.76</w:t>
      </w:r>
      <w:r>
        <w:rPr>
          <w:rFonts w:ascii="仿宋" w:eastAsia="仿宋" w:hAnsi="仿宋" w:cs="仿宋_GB2312"/>
          <w:sz w:val="30"/>
          <w:szCs w:val="30"/>
        </w:rPr>
        <w:t>万元，</w:t>
      </w:r>
      <w:r>
        <w:rPr>
          <w:rFonts w:ascii="仿宋" w:eastAsia="仿宋" w:hAnsi="仿宋" w:cs="仿宋_GB2312" w:hint="eastAsia"/>
          <w:sz w:val="30"/>
          <w:szCs w:val="30"/>
        </w:rPr>
        <w:t>项目支出预算数</w:t>
      </w:r>
      <w:r>
        <w:rPr>
          <w:rFonts w:ascii="仿宋" w:eastAsia="仿宋" w:hAnsi="仿宋" w:cs="仿宋_GB2312" w:hint="eastAsia"/>
          <w:sz w:val="30"/>
          <w:szCs w:val="30"/>
        </w:rPr>
        <w:t>14769.43</w:t>
      </w:r>
      <w:r>
        <w:rPr>
          <w:rFonts w:ascii="仿宋" w:eastAsia="仿宋" w:hAnsi="仿宋" w:cs="仿宋_GB2312"/>
          <w:sz w:val="30"/>
          <w:szCs w:val="30"/>
        </w:rPr>
        <w:t>万元</w:t>
      </w:r>
      <w:r>
        <w:rPr>
          <w:rFonts w:ascii="仿宋" w:eastAsia="仿宋" w:hAnsi="仿宋" w:cs="仿宋_GB2312" w:hint="eastAsia"/>
          <w:sz w:val="30"/>
          <w:szCs w:val="30"/>
        </w:rPr>
        <w:t>。</w:t>
      </w:r>
      <w:r>
        <w:rPr>
          <w:rFonts w:ascii="仿宋" w:eastAsia="仿宋" w:hAnsi="仿宋" w:cs="仿宋_GB2312"/>
          <w:sz w:val="30"/>
          <w:szCs w:val="30"/>
        </w:rPr>
        <w:t>资金总体</w:t>
      </w:r>
      <w:r>
        <w:rPr>
          <w:rFonts w:ascii="仿宋" w:eastAsia="仿宋" w:hAnsi="仿宋" w:cs="仿宋_GB2312" w:hint="eastAsia"/>
          <w:sz w:val="30"/>
          <w:szCs w:val="30"/>
        </w:rPr>
        <w:t>支出</w:t>
      </w:r>
      <w:r>
        <w:rPr>
          <w:rFonts w:ascii="仿宋" w:eastAsia="仿宋" w:hAnsi="仿宋" w:cs="仿宋_GB2312" w:hint="eastAsia"/>
          <w:sz w:val="30"/>
          <w:szCs w:val="30"/>
        </w:rPr>
        <w:t>50616.11</w:t>
      </w:r>
      <w:r>
        <w:rPr>
          <w:rFonts w:ascii="仿宋" w:eastAsia="仿宋" w:hAnsi="仿宋" w:cs="仿宋_GB2312"/>
          <w:sz w:val="30"/>
          <w:szCs w:val="30"/>
        </w:rPr>
        <w:t>万元，其中，基本支出</w:t>
      </w:r>
      <w:r>
        <w:rPr>
          <w:rFonts w:ascii="仿宋" w:eastAsia="仿宋" w:hAnsi="仿宋" w:cs="仿宋_GB2312" w:hint="eastAsia"/>
          <w:sz w:val="30"/>
          <w:szCs w:val="30"/>
        </w:rPr>
        <w:t>36077.91</w:t>
      </w:r>
      <w:r>
        <w:rPr>
          <w:rFonts w:ascii="仿宋" w:eastAsia="仿宋" w:hAnsi="仿宋" w:cs="仿宋_GB2312"/>
          <w:sz w:val="30"/>
          <w:szCs w:val="30"/>
        </w:rPr>
        <w:t>万元，项目</w:t>
      </w:r>
      <w:r>
        <w:rPr>
          <w:rFonts w:ascii="仿宋" w:eastAsia="仿宋" w:hAnsi="仿宋" w:cs="仿宋_GB2312" w:hint="eastAsia"/>
          <w:sz w:val="30"/>
          <w:szCs w:val="30"/>
        </w:rPr>
        <w:t>支出</w:t>
      </w:r>
      <w:r>
        <w:rPr>
          <w:rFonts w:ascii="仿宋" w:eastAsia="仿宋" w:hAnsi="仿宋" w:cs="仿宋_GB2312" w:hint="eastAsia"/>
          <w:sz w:val="30"/>
          <w:szCs w:val="30"/>
        </w:rPr>
        <w:t>14538.20</w:t>
      </w:r>
      <w:r>
        <w:rPr>
          <w:rFonts w:ascii="仿宋" w:eastAsia="仿宋" w:hAnsi="仿宋" w:cs="仿宋_GB2312"/>
          <w:sz w:val="30"/>
          <w:szCs w:val="30"/>
        </w:rPr>
        <w:t>万元。</w:t>
      </w:r>
      <w:r>
        <w:rPr>
          <w:rFonts w:ascii="仿宋" w:eastAsia="仿宋" w:hAnsi="仿宋" w:cs="仿宋_GB2312" w:hint="eastAsia"/>
          <w:sz w:val="30"/>
          <w:szCs w:val="30"/>
        </w:rPr>
        <w:t>预算</w:t>
      </w:r>
      <w:r>
        <w:rPr>
          <w:rFonts w:ascii="仿宋" w:eastAsia="仿宋" w:hAnsi="仿宋" w:cs="仿宋_GB2312"/>
          <w:sz w:val="30"/>
          <w:szCs w:val="30"/>
        </w:rPr>
        <w:t>执行率为</w:t>
      </w:r>
      <w:r>
        <w:rPr>
          <w:rFonts w:ascii="仿宋" w:eastAsia="仿宋" w:hAnsi="仿宋" w:cs="仿宋_GB2312"/>
          <w:sz w:val="30"/>
          <w:szCs w:val="30"/>
        </w:rPr>
        <w:t>9</w:t>
      </w:r>
      <w:r>
        <w:rPr>
          <w:rFonts w:ascii="仿宋" w:eastAsia="仿宋" w:hAnsi="仿宋" w:cs="仿宋_GB2312" w:hint="eastAsia"/>
          <w:sz w:val="30"/>
          <w:szCs w:val="30"/>
        </w:rPr>
        <w:t>8.82</w:t>
      </w:r>
      <w:r>
        <w:rPr>
          <w:rFonts w:ascii="仿宋" w:eastAsia="仿宋" w:hAnsi="仿宋" w:cs="仿宋_GB2312"/>
          <w:sz w:val="30"/>
          <w:szCs w:val="30"/>
        </w:rPr>
        <w:t>%</w:t>
      </w:r>
      <w:r>
        <w:rPr>
          <w:rFonts w:ascii="仿宋" w:eastAsia="仿宋" w:hAnsi="仿宋" w:cs="仿宋_GB2312" w:hint="eastAsia"/>
          <w:sz w:val="30"/>
          <w:szCs w:val="30"/>
        </w:rPr>
        <w:t>。</w:t>
      </w:r>
    </w:p>
    <w:p w:rsidR="00AA0375" w:rsidRDefault="007B0031">
      <w:pPr>
        <w:spacing w:line="600" w:lineRule="exact"/>
        <w:ind w:leftChars="50" w:left="105" w:firstLineChars="150" w:firstLine="480"/>
        <w:outlineLvl w:val="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三</w:t>
      </w:r>
      <w:r>
        <w:rPr>
          <w:rFonts w:ascii="黑体" w:eastAsia="黑体" w:hAnsi="黑体" w:cs="宋体"/>
          <w:color w:val="000000"/>
          <w:kern w:val="0"/>
          <w:sz w:val="32"/>
          <w:szCs w:val="32"/>
        </w:rPr>
        <w:t>、整体绩效目标实现情况</w:t>
      </w:r>
    </w:p>
    <w:p w:rsidR="00AA0375" w:rsidRDefault="007B0031">
      <w:pPr>
        <w:spacing w:line="600" w:lineRule="exact"/>
        <w:ind w:leftChars="50" w:left="105" w:firstLineChars="150" w:firstLine="480"/>
        <w:outlineLvl w:val="1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（一）产出完成情况分析</w:t>
      </w:r>
    </w:p>
    <w:p w:rsidR="00AA0375" w:rsidRDefault="007B0031">
      <w:pPr>
        <w:spacing w:line="600" w:lineRule="exact"/>
        <w:ind w:leftChars="50" w:left="105" w:firstLineChars="150" w:firstLine="450"/>
        <w:outlineLvl w:val="2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1.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产出数量</w:t>
      </w:r>
    </w:p>
    <w:p w:rsidR="00AA0375" w:rsidRDefault="007B0031">
      <w:pPr>
        <w:spacing w:line="640" w:lineRule="exact"/>
        <w:ind w:firstLineChars="200" w:firstLine="600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2023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年，我院共新收案件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139547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件，超额完成年初预设指标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130000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件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；结案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140506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件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；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员额法官人均结案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521.4</w:t>
      </w:r>
      <w:r w:rsidR="00614D4A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件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；一线庭室全员人均结案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193.7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件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。圆满完成了全年各项任务。</w:t>
      </w:r>
    </w:p>
    <w:p w:rsidR="00AA0375" w:rsidRDefault="007B0031">
      <w:pPr>
        <w:spacing w:line="600" w:lineRule="exact"/>
        <w:ind w:leftChars="50" w:left="105" w:firstLineChars="150" w:firstLine="450"/>
        <w:outlineLvl w:val="2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2.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产出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质量</w:t>
      </w:r>
    </w:p>
    <w:p w:rsidR="00AA0375" w:rsidRDefault="007B0031">
      <w:pPr>
        <w:pStyle w:val="a5"/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截止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2023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年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12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月，我院一审改判发回重审率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2.59%</w:t>
      </w:r>
      <w:r w:rsidR="00BA3DA1">
        <w:rPr>
          <w:rFonts w:ascii="仿宋" w:eastAsia="仿宋" w:hAnsi="仿宋" w:cs="宋体" w:hint="eastAsia"/>
          <w:color w:val="000000"/>
          <w:kern w:val="0"/>
          <w:sz w:val="30"/>
          <w:szCs w:val="30"/>
          <w:lang/>
        </w:rPr>
        <w:t>,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生效案件被改判发回重审率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0.069%</w:t>
      </w:r>
      <w:r w:rsidR="00BA3DA1">
        <w:rPr>
          <w:rFonts w:ascii="仿宋" w:eastAsia="仿宋" w:hAnsi="仿宋" w:cs="宋体" w:hint="eastAsia"/>
          <w:color w:val="000000"/>
          <w:kern w:val="0"/>
          <w:sz w:val="30"/>
          <w:szCs w:val="30"/>
          <w:lang/>
        </w:rPr>
        <w:t>,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一审服判息诉率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86.09%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。</w:t>
      </w:r>
      <w:r>
        <w:rPr>
          <w:rFonts w:ascii="仿宋" w:eastAsia="仿宋" w:hAnsi="仿宋" w:cs="仿宋_GB2312" w:hint="eastAsia"/>
          <w:sz w:val="30"/>
          <w:szCs w:val="30"/>
        </w:rPr>
        <w:t>年度各项质量指标均已完成。</w:t>
      </w:r>
    </w:p>
    <w:p w:rsidR="00AA0375" w:rsidRDefault="007B0031">
      <w:pPr>
        <w:spacing w:line="600" w:lineRule="exact"/>
        <w:ind w:leftChars="50" w:left="105" w:firstLineChars="150" w:firstLine="450"/>
        <w:outlineLvl w:val="2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3.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产出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进度</w:t>
      </w:r>
    </w:p>
    <w:p w:rsidR="00AA0375" w:rsidRDefault="007B0031">
      <w:pPr>
        <w:spacing w:line="640" w:lineRule="exact"/>
        <w:ind w:firstLineChars="200"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2023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年，我院结收比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100.69%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；结案率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76.76%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；</w:t>
      </w:r>
      <w:r w:rsidR="00860392" w:rsidRPr="00860392">
        <w:rPr>
          <w:rFonts w:ascii="仿宋" w:eastAsia="仿宋" w:hAnsi="仿宋" w:cs="仿宋_GB2312" w:hint="eastAsia"/>
          <w:bCs/>
          <w:sz w:val="30"/>
          <w:szCs w:val="30"/>
        </w:rPr>
        <w:t>2022年底未结案件</w:t>
      </w:r>
      <w:r w:rsidR="00860392" w:rsidRPr="00860392">
        <w:rPr>
          <w:rFonts w:ascii="仿宋" w:eastAsia="仿宋" w:hAnsi="仿宋" w:cs="仿宋_GB2312" w:hint="eastAsia"/>
          <w:sz w:val="30"/>
          <w:szCs w:val="30"/>
        </w:rPr>
        <w:t>清理率</w:t>
      </w:r>
      <w:r>
        <w:rPr>
          <w:rFonts w:ascii="仿宋" w:eastAsia="仿宋" w:hAnsi="仿宋" w:cs="仿宋_GB2312" w:hint="eastAsia"/>
          <w:sz w:val="30"/>
          <w:szCs w:val="30"/>
        </w:rPr>
        <w:t>97.81%</w:t>
      </w:r>
      <w:r>
        <w:rPr>
          <w:rFonts w:ascii="仿宋" w:eastAsia="仿宋" w:hAnsi="仿宋" w:cs="仿宋_GB2312" w:hint="eastAsia"/>
          <w:sz w:val="30"/>
          <w:szCs w:val="30"/>
        </w:rPr>
        <w:t>。各项目按照计划安排实施，均完成项</w:t>
      </w:r>
      <w:r>
        <w:rPr>
          <w:rFonts w:ascii="仿宋" w:eastAsia="仿宋" w:hAnsi="仿宋" w:cs="仿宋_GB2312" w:hint="eastAsia"/>
          <w:sz w:val="30"/>
          <w:szCs w:val="30"/>
        </w:rPr>
        <w:lastRenderedPageBreak/>
        <w:t>目目标。</w:t>
      </w:r>
    </w:p>
    <w:p w:rsidR="00AA0375" w:rsidRDefault="007B0031">
      <w:pPr>
        <w:spacing w:line="600" w:lineRule="exact"/>
        <w:ind w:leftChars="50" w:left="105" w:firstLineChars="150" w:firstLine="450"/>
        <w:outlineLvl w:val="2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/>
          <w:color w:val="000000"/>
          <w:kern w:val="0"/>
          <w:sz w:val="30"/>
          <w:szCs w:val="30"/>
        </w:rPr>
        <w:t>4.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产出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成本</w:t>
      </w:r>
    </w:p>
    <w:p w:rsidR="00AA0375" w:rsidRDefault="007B0031">
      <w:pPr>
        <w:spacing w:line="640" w:lineRule="exact"/>
        <w:ind w:firstLineChars="200" w:firstLine="600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我院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2023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年全口径案件成本（全年财政拨款预算数（项目经费）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/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审结案件数量）年度指标值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2500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元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/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件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,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实际完成值为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1034.70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元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/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件，节支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58.61%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。</w:t>
      </w:r>
    </w:p>
    <w:p w:rsidR="00AA0375" w:rsidRDefault="007B0031">
      <w:pPr>
        <w:spacing w:line="600" w:lineRule="exact"/>
        <w:ind w:leftChars="50" w:left="105" w:firstLineChars="150" w:firstLine="480"/>
        <w:outlineLvl w:val="1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（二）效果</w:t>
      </w:r>
      <w:r>
        <w:rPr>
          <w:rFonts w:ascii="楷体_GB2312" w:eastAsia="楷体_GB2312"/>
          <w:sz w:val="32"/>
          <w:szCs w:val="32"/>
        </w:rPr>
        <w:t>实现情况分析</w:t>
      </w:r>
    </w:p>
    <w:p w:rsidR="00AA0375" w:rsidRDefault="007B0031">
      <w:pPr>
        <w:spacing w:line="600" w:lineRule="exact"/>
        <w:ind w:leftChars="50" w:left="105" w:firstLineChars="150" w:firstLine="450"/>
        <w:outlineLvl w:val="2"/>
        <w:rPr>
          <w:rStyle w:val="NormalCharacter"/>
          <w:rFonts w:ascii="仿宋" w:eastAsia="仿宋" w:hAnsi="仿宋" w:cstheme="minorBidi"/>
          <w:kern w:val="0"/>
          <w:sz w:val="30"/>
          <w:szCs w:val="30"/>
        </w:rPr>
      </w:pPr>
      <w:r>
        <w:rPr>
          <w:rStyle w:val="NormalCharacter"/>
          <w:rFonts w:ascii="仿宋" w:eastAsia="仿宋" w:hAnsi="仿宋" w:cstheme="minorBidi" w:hint="eastAsia"/>
          <w:kern w:val="0"/>
          <w:sz w:val="30"/>
          <w:szCs w:val="30"/>
        </w:rPr>
        <w:t>1.</w:t>
      </w:r>
      <w:r>
        <w:rPr>
          <w:rStyle w:val="NormalCharacter"/>
          <w:rFonts w:ascii="仿宋" w:eastAsia="仿宋" w:hAnsi="仿宋" w:cstheme="minorBidi" w:hint="eastAsia"/>
          <w:kern w:val="0"/>
          <w:sz w:val="30"/>
          <w:szCs w:val="30"/>
        </w:rPr>
        <w:t>经济效益</w:t>
      </w:r>
    </w:p>
    <w:p w:rsidR="00AA0375" w:rsidRDefault="007B0031">
      <w:pPr>
        <w:pStyle w:val="a5"/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我院围绕恢复和扩大内需、建设国际消费中心城市主承载区，平等保护各类市场主体，高效审结商事案件</w:t>
      </w:r>
      <w:r>
        <w:rPr>
          <w:rFonts w:ascii="仿宋" w:eastAsia="仿宋" w:hAnsi="仿宋" w:cs="仿宋_GB2312" w:hint="eastAsia"/>
          <w:sz w:val="30"/>
          <w:szCs w:val="30"/>
        </w:rPr>
        <w:t>24042</w:t>
      </w:r>
      <w:r>
        <w:rPr>
          <w:rFonts w:ascii="仿宋" w:eastAsia="仿宋" w:hAnsi="仿宋" w:cs="仿宋_GB2312" w:hint="eastAsia"/>
          <w:sz w:val="30"/>
          <w:szCs w:val="30"/>
        </w:rPr>
        <w:t>件。为辖区企业依规经营、扎根发展注入充沛法治能量。</w:t>
      </w:r>
    </w:p>
    <w:p w:rsidR="00AA0375" w:rsidRDefault="007B0031">
      <w:pPr>
        <w:pStyle w:val="a5"/>
        <w:spacing w:line="560" w:lineRule="exact"/>
        <w:ind w:firstLine="60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sz w:val="30"/>
          <w:szCs w:val="30"/>
        </w:rPr>
        <w:t>全年执结案件</w:t>
      </w:r>
      <w:r>
        <w:rPr>
          <w:rFonts w:ascii="仿宋" w:eastAsia="仿宋" w:hAnsi="仿宋" w:cs="仿宋_GB2312" w:hint="eastAsia"/>
          <w:sz w:val="30"/>
          <w:szCs w:val="30"/>
        </w:rPr>
        <w:t>49249</w:t>
      </w:r>
      <w:r>
        <w:rPr>
          <w:rFonts w:ascii="仿宋" w:eastAsia="仿宋" w:hAnsi="仿宋" w:cs="仿宋_GB2312" w:hint="eastAsia"/>
          <w:sz w:val="30"/>
          <w:szCs w:val="30"/>
        </w:rPr>
        <w:t>件，执行到位金额达</w:t>
      </w:r>
      <w:r>
        <w:rPr>
          <w:rFonts w:ascii="仿宋" w:eastAsia="仿宋" w:hAnsi="仿宋" w:cs="仿宋_GB2312" w:hint="eastAsia"/>
          <w:sz w:val="30"/>
          <w:szCs w:val="30"/>
        </w:rPr>
        <w:t>116</w:t>
      </w:r>
      <w:r>
        <w:rPr>
          <w:rFonts w:ascii="仿宋" w:eastAsia="仿宋" w:hAnsi="仿宋" w:cs="仿宋_GB2312" w:hint="eastAsia"/>
          <w:sz w:val="30"/>
          <w:szCs w:val="30"/>
        </w:rPr>
        <w:t>亿元，实现执行标的财产复用价值最大化和多方共赢，典型案例被最高法院执行工作动态刊载、向全国法院推介。</w:t>
      </w:r>
    </w:p>
    <w:p w:rsidR="00AA0375" w:rsidRDefault="007B0031">
      <w:pPr>
        <w:pStyle w:val="a5"/>
        <w:spacing w:line="560" w:lineRule="exact"/>
        <w:ind w:firstLine="60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sz w:val="30"/>
          <w:szCs w:val="30"/>
        </w:rPr>
        <w:t>细化审判权力责任清单，压紧压实院庭长监督管理职责，全年召开专业法官会议</w:t>
      </w:r>
      <w:r>
        <w:rPr>
          <w:rFonts w:ascii="仿宋" w:eastAsia="仿宋" w:hAnsi="仿宋" w:cs="仿宋_GB2312" w:hint="eastAsia"/>
          <w:sz w:val="30"/>
          <w:szCs w:val="30"/>
        </w:rPr>
        <w:t>134</w:t>
      </w:r>
      <w:r>
        <w:rPr>
          <w:rFonts w:ascii="仿宋" w:eastAsia="仿宋" w:hAnsi="仿宋" w:cs="仿宋_GB2312" w:hint="eastAsia"/>
          <w:sz w:val="30"/>
          <w:szCs w:val="30"/>
        </w:rPr>
        <w:t>次，审判委员会讨论决定重大案件</w:t>
      </w:r>
      <w:r>
        <w:rPr>
          <w:rFonts w:ascii="仿宋" w:eastAsia="仿宋" w:hAnsi="仿宋" w:cs="仿宋_GB2312" w:hint="eastAsia"/>
          <w:sz w:val="30"/>
          <w:szCs w:val="30"/>
        </w:rPr>
        <w:t>270</w:t>
      </w:r>
      <w:r>
        <w:rPr>
          <w:rFonts w:ascii="仿宋" w:eastAsia="仿宋" w:hAnsi="仿宋" w:cs="仿宋_GB2312" w:hint="eastAsia"/>
          <w:sz w:val="30"/>
          <w:szCs w:val="30"/>
        </w:rPr>
        <w:t>件，评查各类案件</w:t>
      </w:r>
      <w:r>
        <w:rPr>
          <w:rFonts w:ascii="仿宋" w:eastAsia="仿宋" w:hAnsi="仿宋" w:cs="仿宋_GB2312" w:hint="eastAsia"/>
          <w:sz w:val="30"/>
          <w:szCs w:val="30"/>
        </w:rPr>
        <w:t>2000</w:t>
      </w:r>
      <w:r>
        <w:rPr>
          <w:rFonts w:ascii="仿宋" w:eastAsia="仿宋" w:hAnsi="仿宋" w:cs="仿宋_GB2312" w:hint="eastAsia"/>
          <w:sz w:val="30"/>
          <w:szCs w:val="30"/>
        </w:rPr>
        <w:t>余件，促进法律问题充分研讨、法律分歧普遍解决、裁判尺度统一适用，审判质量得到持续提高。</w:t>
      </w:r>
    </w:p>
    <w:p w:rsidR="00AA0375" w:rsidRDefault="007B0031">
      <w:pPr>
        <w:spacing w:line="600" w:lineRule="exact"/>
        <w:ind w:leftChars="50" w:left="105" w:firstLineChars="150" w:firstLine="480"/>
        <w:outlineLvl w:val="2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社会效益</w:t>
      </w:r>
    </w:p>
    <w:p w:rsidR="00D55527" w:rsidRDefault="00D55527" w:rsidP="00D55527">
      <w:pPr>
        <w:pStyle w:val="a5"/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严厉打击危害国家安全和群众反映强烈的各类犯罪，常态化开展扫黑除恶斗争，审结刑事案件3264件，判处罪犯4257人，不断增强人民群众安全感。</w:t>
      </w:r>
    </w:p>
    <w:p w:rsidR="00D55527" w:rsidRPr="00D55527" w:rsidRDefault="00D55527" w:rsidP="00AB03DB">
      <w:pPr>
        <w:pStyle w:val="a5"/>
        <w:spacing w:line="560" w:lineRule="exact"/>
        <w:ind w:firstLine="600"/>
        <w:rPr>
          <w:rFonts w:ascii="仿宋" w:eastAsia="仿宋" w:hAnsi="仿宋" w:cs="仿宋_GB2312" w:hint="eastAsia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加大对非法金融活动的打击力度，审结非法吸收公众存款、集资诈骗等犯罪案件353件，追赃挽损3亿余元，有力保护投资人合法权益。</w:t>
      </w:r>
    </w:p>
    <w:p w:rsidR="00AA0375" w:rsidRDefault="007B0031">
      <w:pPr>
        <w:pStyle w:val="a5"/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lastRenderedPageBreak/>
        <w:t>深入推进“八五普法”规划，常态化开展“京法巡回讲堂”活动，策划宪法宣传周、民法典解读、“敬老月”等专题普法</w:t>
      </w:r>
      <w:r>
        <w:rPr>
          <w:rFonts w:ascii="仿宋" w:eastAsia="仿宋" w:hAnsi="仿宋" w:cs="仿宋_GB2312" w:hint="eastAsia"/>
          <w:sz w:val="30"/>
          <w:szCs w:val="30"/>
        </w:rPr>
        <w:t>110</w:t>
      </w:r>
      <w:r>
        <w:rPr>
          <w:rFonts w:ascii="仿宋" w:eastAsia="仿宋" w:hAnsi="仿宋" w:cs="仿宋_GB2312" w:hint="eastAsia"/>
          <w:sz w:val="30"/>
          <w:szCs w:val="30"/>
        </w:rPr>
        <w:t>场，在各类媒体</w:t>
      </w:r>
      <w:r>
        <w:rPr>
          <w:rFonts w:ascii="仿宋" w:eastAsia="仿宋" w:hAnsi="仿宋" w:cs="仿宋_GB2312" w:hint="eastAsia"/>
          <w:sz w:val="30"/>
          <w:szCs w:val="30"/>
        </w:rPr>
        <w:t>发稿</w:t>
      </w:r>
      <w:r>
        <w:rPr>
          <w:rFonts w:ascii="仿宋" w:eastAsia="仿宋" w:hAnsi="仿宋" w:cs="仿宋_GB2312" w:hint="eastAsia"/>
          <w:sz w:val="30"/>
          <w:szCs w:val="30"/>
        </w:rPr>
        <w:t>3</w:t>
      </w:r>
      <w:r>
        <w:rPr>
          <w:rFonts w:ascii="仿宋" w:eastAsia="仿宋" w:hAnsi="仿宋" w:cs="仿宋_GB2312" w:hint="eastAsia"/>
          <w:sz w:val="30"/>
          <w:szCs w:val="30"/>
        </w:rPr>
        <w:t>万余篇，把真正管用的法律常识精准输送给各类群众。</w:t>
      </w:r>
    </w:p>
    <w:p w:rsidR="00AA0375" w:rsidRDefault="007B0031">
      <w:pPr>
        <w:pStyle w:val="a5"/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充分释放“多元调解</w:t>
      </w:r>
      <w:r>
        <w:rPr>
          <w:rFonts w:ascii="仿宋" w:eastAsia="仿宋" w:hAnsi="仿宋" w:cs="仿宋_GB2312" w:hint="eastAsia"/>
          <w:sz w:val="30"/>
          <w:szCs w:val="30"/>
        </w:rPr>
        <w:t>+</w:t>
      </w:r>
      <w:r>
        <w:rPr>
          <w:rFonts w:ascii="仿宋" w:eastAsia="仿宋" w:hAnsi="仿宋" w:cs="仿宋_GB2312" w:hint="eastAsia"/>
          <w:sz w:val="30"/>
          <w:szCs w:val="30"/>
        </w:rPr>
        <w:t>速裁”工作效能，组建</w:t>
      </w:r>
      <w:r>
        <w:rPr>
          <w:rFonts w:ascii="仿宋" w:eastAsia="仿宋" w:hAnsi="仿宋" w:cs="仿宋_GB2312" w:hint="eastAsia"/>
          <w:sz w:val="30"/>
          <w:szCs w:val="30"/>
        </w:rPr>
        <w:t>35</w:t>
      </w:r>
      <w:r>
        <w:rPr>
          <w:rFonts w:ascii="仿宋" w:eastAsia="仿宋" w:hAnsi="仿宋" w:cs="仿宋_GB2312" w:hint="eastAsia"/>
          <w:sz w:val="30"/>
          <w:szCs w:val="30"/>
        </w:rPr>
        <w:t>个调解速裁团队，全年通过该机制结案</w:t>
      </w:r>
      <w:r>
        <w:rPr>
          <w:rFonts w:ascii="仿宋" w:eastAsia="仿宋" w:hAnsi="仿宋" w:cs="仿宋_GB2312" w:hint="eastAsia"/>
          <w:sz w:val="30"/>
          <w:szCs w:val="30"/>
        </w:rPr>
        <w:t>75408</w:t>
      </w:r>
      <w:r>
        <w:rPr>
          <w:rFonts w:ascii="仿宋" w:eastAsia="仿宋" w:hAnsi="仿宋" w:cs="仿宋_GB2312" w:hint="eastAsia"/>
          <w:sz w:val="30"/>
          <w:szCs w:val="30"/>
        </w:rPr>
        <w:t>件，将</w:t>
      </w:r>
      <w:r>
        <w:rPr>
          <w:rFonts w:ascii="仿宋" w:eastAsia="仿宋" w:hAnsi="仿宋" w:cs="仿宋_GB2312" w:hint="eastAsia"/>
          <w:sz w:val="30"/>
          <w:szCs w:val="30"/>
        </w:rPr>
        <w:t>71.6%</w:t>
      </w:r>
      <w:r>
        <w:rPr>
          <w:rFonts w:ascii="仿宋" w:eastAsia="仿宋" w:hAnsi="仿宋" w:cs="仿宋_GB2312" w:hint="eastAsia"/>
          <w:sz w:val="30"/>
          <w:szCs w:val="30"/>
        </w:rPr>
        <w:t>的民商事纠纷化解在诉讼前端；加大小额诉讼和简易程序适用力度，适用相关程序结案</w:t>
      </w:r>
      <w:r>
        <w:rPr>
          <w:rFonts w:ascii="仿宋" w:eastAsia="仿宋" w:hAnsi="仿宋" w:cs="仿宋_GB2312" w:hint="eastAsia"/>
          <w:sz w:val="30"/>
          <w:szCs w:val="30"/>
        </w:rPr>
        <w:t>41290</w:t>
      </w:r>
      <w:r>
        <w:rPr>
          <w:rFonts w:ascii="仿宋" w:eastAsia="仿宋" w:hAnsi="仿宋" w:cs="仿宋_GB2312" w:hint="eastAsia"/>
          <w:sz w:val="30"/>
          <w:szCs w:val="30"/>
        </w:rPr>
        <w:t>件，占民商事结案总数的</w:t>
      </w:r>
      <w:r>
        <w:rPr>
          <w:rFonts w:ascii="仿宋" w:eastAsia="仿宋" w:hAnsi="仿宋" w:cs="仿宋_GB2312" w:hint="eastAsia"/>
          <w:sz w:val="30"/>
          <w:szCs w:val="30"/>
        </w:rPr>
        <w:t>47.3%</w:t>
      </w:r>
      <w:r>
        <w:rPr>
          <w:rFonts w:ascii="仿宋" w:eastAsia="仿宋" w:hAnsi="仿宋" w:cs="仿宋_GB2312" w:hint="eastAsia"/>
          <w:sz w:val="30"/>
          <w:szCs w:val="30"/>
        </w:rPr>
        <w:t>，审判效率保持稳中向好。</w:t>
      </w:r>
    </w:p>
    <w:p w:rsidR="00AA0375" w:rsidRDefault="007B0031">
      <w:pPr>
        <w:pStyle w:val="a5"/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对标文化发展大区、数字经济核心区定位，保障创新驱动发展战略实施，审结经济案件</w:t>
      </w:r>
      <w:r>
        <w:rPr>
          <w:rFonts w:ascii="仿宋" w:eastAsia="仿宋" w:hAnsi="仿宋" w:cs="仿宋_GB2312" w:hint="eastAsia"/>
          <w:sz w:val="30"/>
          <w:szCs w:val="30"/>
        </w:rPr>
        <w:t>4315</w:t>
      </w:r>
      <w:r>
        <w:rPr>
          <w:rFonts w:ascii="仿宋" w:eastAsia="仿宋" w:hAnsi="仿宋" w:cs="仿宋_GB2312" w:hint="eastAsia"/>
          <w:sz w:val="30"/>
          <w:szCs w:val="30"/>
        </w:rPr>
        <w:t>件。合作建设的“朝知云调解平台”成为会上集中亮相的创新成果之一。</w:t>
      </w:r>
    </w:p>
    <w:p w:rsidR="00AA0375" w:rsidRDefault="007B0031">
      <w:pPr>
        <w:pStyle w:val="a5"/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扎实推进涉外审判专业化建设，密切关注国际家庭在朝阳的幸福生</w:t>
      </w:r>
      <w:r>
        <w:rPr>
          <w:rFonts w:ascii="仿宋" w:eastAsia="仿宋" w:hAnsi="仿宋" w:cs="仿宋_GB2312" w:hint="eastAsia"/>
          <w:sz w:val="30"/>
          <w:szCs w:val="30"/>
        </w:rPr>
        <w:t>活，依法妥善化解涉外家事案件</w:t>
      </w:r>
      <w:r>
        <w:rPr>
          <w:rFonts w:ascii="仿宋" w:eastAsia="仿宋" w:hAnsi="仿宋" w:cs="仿宋_GB2312" w:hint="eastAsia"/>
          <w:sz w:val="30"/>
          <w:szCs w:val="30"/>
        </w:rPr>
        <w:t>178</w:t>
      </w:r>
      <w:r>
        <w:rPr>
          <w:rFonts w:ascii="仿宋" w:eastAsia="仿宋" w:hAnsi="仿宋" w:cs="仿宋_GB2312" w:hint="eastAsia"/>
          <w:sz w:val="30"/>
          <w:szCs w:val="30"/>
        </w:rPr>
        <w:t>件，发布《涉外家事案件审判白皮书》及典型案例，向外国当事人提供解决纠纷、参与诉讼的便利指引，“国际化”成为朝阳最亮丽的“金名片”。</w:t>
      </w:r>
    </w:p>
    <w:p w:rsidR="00AA0375" w:rsidRDefault="007B0031">
      <w:pPr>
        <w:pStyle w:val="a5"/>
        <w:spacing w:line="560" w:lineRule="exact"/>
        <w:ind w:firstLine="60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sz w:val="30"/>
          <w:szCs w:val="30"/>
        </w:rPr>
        <w:t>深化全市首家涉老纠纷专业化人民法庭建设，在亚运村法庭组建涉老案件专门审判团队，创新帮助失能失智孤老选定监护人等涉老特色审判机制，发布《涉养老机构民事诉讼案件审判白皮书》，涉老审判工作经验被《北京市老龄事业发展报告》收录，涉养老服务养老产业案件入选北京法院涉老审判典型案例。</w:t>
      </w:r>
    </w:p>
    <w:p w:rsidR="00AA0375" w:rsidRDefault="007B0031">
      <w:pPr>
        <w:spacing w:line="600" w:lineRule="exact"/>
        <w:ind w:leftChars="50" w:left="105" w:firstLineChars="150" w:firstLine="480"/>
        <w:outlineLvl w:val="2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环境影响</w:t>
      </w:r>
    </w:p>
    <w:p w:rsidR="00AA0375" w:rsidRDefault="007B0031">
      <w:pPr>
        <w:pStyle w:val="a5"/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围绕全面建成“基本无违法建设区”，助力城市人居环境改善。同时向市区两级园林绿化局提出完善认建认养政策等具体建</w:t>
      </w:r>
      <w:r>
        <w:rPr>
          <w:rFonts w:ascii="仿宋" w:eastAsia="仿宋" w:hAnsi="仿宋" w:cs="仿宋_GB2312" w:hint="eastAsia"/>
          <w:sz w:val="30"/>
          <w:szCs w:val="30"/>
        </w:rPr>
        <w:lastRenderedPageBreak/>
        <w:t>议，保卫城市绿地建设进程稳步推进。</w:t>
      </w:r>
    </w:p>
    <w:p w:rsidR="00AA0375" w:rsidRDefault="007B0031">
      <w:pPr>
        <w:spacing w:line="600" w:lineRule="exact"/>
        <w:ind w:leftChars="50" w:left="105" w:firstLineChars="150" w:firstLine="480"/>
        <w:outlineLvl w:val="2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可持续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性影响</w:t>
      </w:r>
    </w:p>
    <w:p w:rsidR="00AA0375" w:rsidRDefault="007B0031">
      <w:pPr>
        <w:pStyle w:val="a5"/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全面加强党的政治建设，从严抓好纪律作风建设，持续加强素质能力建设，积极践行全过程人民民</w:t>
      </w:r>
      <w:r>
        <w:rPr>
          <w:rFonts w:ascii="仿宋" w:eastAsia="仿宋" w:hAnsi="仿宋" w:cs="仿宋_GB2312" w:hint="eastAsia"/>
          <w:sz w:val="30"/>
          <w:szCs w:val="30"/>
        </w:rPr>
        <w:t>主，广泛接受检察机关、人民陪审员等各方监督，认真落实人民陪审员制度。</w:t>
      </w:r>
    </w:p>
    <w:p w:rsidR="00AA0375" w:rsidRDefault="007B0031">
      <w:pPr>
        <w:pStyle w:val="a5"/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把围绕区域中心工作、能动履职服务大局落到实处，充分发挥法治固根本、稳预期、利长远的保障作用，为朝阳区高质量发展营造牢固的基础、持续的动力、公平正义的环境。</w:t>
      </w:r>
    </w:p>
    <w:p w:rsidR="00AA0375" w:rsidRDefault="007B0031">
      <w:pPr>
        <w:pStyle w:val="a5"/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持续增强审判管理能力水平，提高司法审判质量、效率、效果，以“如我在诉”的意识做好执法办案工作，优质高效办好每个案件，加快推进审判工作现代化。</w:t>
      </w:r>
    </w:p>
    <w:p w:rsidR="00AA0375" w:rsidRDefault="007B0031">
      <w:pPr>
        <w:spacing w:line="600" w:lineRule="exact"/>
        <w:ind w:leftChars="50" w:left="105" w:firstLineChars="150" w:firstLine="450"/>
        <w:outlineLvl w:val="2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5.</w:t>
      </w:r>
      <w:r>
        <w:rPr>
          <w:rFonts w:ascii="仿宋" w:eastAsia="仿宋" w:hAnsi="仿宋" w:cs="仿宋_GB2312" w:hint="eastAsia"/>
          <w:sz w:val="30"/>
          <w:szCs w:val="30"/>
        </w:rPr>
        <w:t>服务对象满意度</w:t>
      </w:r>
    </w:p>
    <w:p w:rsidR="00AA0375" w:rsidRDefault="007B0031">
      <w:pPr>
        <w:pStyle w:val="a5"/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回应群众关切、让群众满意落到实处，牢固树立以人民为中心的发展思想，用心用情解决百姓“急难愁盼”，法、理、情相融赢得当事人信服</w:t>
      </w:r>
      <w:r>
        <w:rPr>
          <w:rFonts w:ascii="仿宋" w:eastAsia="仿宋" w:hAnsi="仿宋" w:cs="仿宋_GB2312" w:hint="eastAsia"/>
          <w:sz w:val="30"/>
          <w:szCs w:val="30"/>
        </w:rPr>
        <w:t>，把司法为民做到群众心坎上。</w:t>
      </w:r>
    </w:p>
    <w:p w:rsidR="00AA0375" w:rsidRDefault="007B0031">
      <w:pPr>
        <w:pStyle w:val="a5"/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将每一个关乎群众利益的案件都当成大事来办，审结涉就业、医疗、消费、交通安全等民生案件</w:t>
      </w:r>
      <w:r>
        <w:rPr>
          <w:rFonts w:ascii="仿宋" w:eastAsia="仿宋" w:hAnsi="仿宋" w:cs="仿宋_GB2312" w:hint="eastAsia"/>
          <w:sz w:val="30"/>
          <w:szCs w:val="30"/>
        </w:rPr>
        <w:t>24630</w:t>
      </w:r>
      <w:r>
        <w:rPr>
          <w:rFonts w:ascii="仿宋" w:eastAsia="仿宋" w:hAnsi="仿宋" w:cs="仿宋_GB2312" w:hint="eastAsia"/>
          <w:sz w:val="30"/>
          <w:szCs w:val="30"/>
        </w:rPr>
        <w:t>件，在个案裁判中诠释百姓身边最具体的公平正义。心系群众出行安全，审结交通事故案件</w:t>
      </w:r>
      <w:r>
        <w:rPr>
          <w:rFonts w:ascii="仿宋" w:eastAsia="仿宋" w:hAnsi="仿宋" w:cs="仿宋_GB2312" w:hint="eastAsia"/>
          <w:sz w:val="30"/>
          <w:szCs w:val="30"/>
        </w:rPr>
        <w:t>2792</w:t>
      </w:r>
      <w:r>
        <w:rPr>
          <w:rFonts w:ascii="仿宋" w:eastAsia="仿宋" w:hAnsi="仿宋" w:cs="仿宋_GB2312" w:hint="eastAsia"/>
          <w:sz w:val="30"/>
          <w:szCs w:val="30"/>
        </w:rPr>
        <w:t>件。主动回应群众在解决纠纷中的痛点难点，精准对接矛调平台各类司法需求，参与接诉即办“每月一题”养老机构监管问题专项治理。</w:t>
      </w:r>
    </w:p>
    <w:p w:rsidR="00AA0375" w:rsidRDefault="007B0031">
      <w:pPr>
        <w:pStyle w:val="a5"/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系统整合导诉服务区、自助服务区、窗口服务区、审判辅助事务管理中心、语音诉讼服务平台五大功能区，建成集诉讼服务大厅、线上诉讼服务、</w:t>
      </w:r>
      <w:r>
        <w:rPr>
          <w:rFonts w:ascii="仿宋" w:eastAsia="仿宋" w:hAnsi="仿宋" w:cs="仿宋_GB2312" w:hint="eastAsia"/>
          <w:sz w:val="30"/>
          <w:szCs w:val="30"/>
        </w:rPr>
        <w:t>12368</w:t>
      </w:r>
      <w:r>
        <w:rPr>
          <w:rFonts w:ascii="仿宋" w:eastAsia="仿宋" w:hAnsi="仿宋" w:cs="仿宋_GB2312" w:hint="eastAsia"/>
          <w:sz w:val="30"/>
          <w:szCs w:val="30"/>
        </w:rPr>
        <w:t>热线为一体的一站式体系，全年网</w:t>
      </w:r>
      <w:r>
        <w:rPr>
          <w:rFonts w:ascii="仿宋" w:eastAsia="仿宋" w:hAnsi="仿宋" w:cs="仿宋_GB2312" w:hint="eastAsia"/>
          <w:sz w:val="30"/>
          <w:szCs w:val="30"/>
        </w:rPr>
        <w:lastRenderedPageBreak/>
        <w:t>上立案</w:t>
      </w:r>
      <w:r>
        <w:rPr>
          <w:rFonts w:ascii="仿宋" w:eastAsia="仿宋" w:hAnsi="仿宋" w:cs="仿宋_GB2312" w:hint="eastAsia"/>
          <w:sz w:val="30"/>
          <w:szCs w:val="30"/>
        </w:rPr>
        <w:t>81</w:t>
      </w:r>
      <w:r>
        <w:rPr>
          <w:rFonts w:ascii="仿宋" w:eastAsia="仿宋" w:hAnsi="仿宋" w:cs="仿宋_GB2312" w:hint="eastAsia"/>
          <w:sz w:val="30"/>
          <w:szCs w:val="30"/>
        </w:rPr>
        <w:t>657</w:t>
      </w:r>
      <w:r>
        <w:rPr>
          <w:rFonts w:ascii="仿宋" w:eastAsia="仿宋" w:hAnsi="仿宋" w:cs="仿宋_GB2312" w:hint="eastAsia"/>
          <w:sz w:val="30"/>
          <w:szCs w:val="30"/>
        </w:rPr>
        <w:t>件，电子送达案件</w:t>
      </w:r>
      <w:r>
        <w:rPr>
          <w:rFonts w:ascii="仿宋" w:eastAsia="仿宋" w:hAnsi="仿宋" w:cs="仿宋_GB2312" w:hint="eastAsia"/>
          <w:sz w:val="30"/>
          <w:szCs w:val="30"/>
        </w:rPr>
        <w:t>165659</w:t>
      </w:r>
      <w:r>
        <w:rPr>
          <w:rFonts w:ascii="仿宋" w:eastAsia="仿宋" w:hAnsi="仿宋" w:cs="仿宋_GB2312" w:hint="eastAsia"/>
          <w:sz w:val="30"/>
          <w:szCs w:val="30"/>
        </w:rPr>
        <w:t>件，通过</w:t>
      </w:r>
      <w:r>
        <w:rPr>
          <w:rFonts w:ascii="仿宋" w:eastAsia="仿宋" w:hAnsi="仿宋" w:cs="仿宋_GB2312" w:hint="eastAsia"/>
          <w:sz w:val="30"/>
          <w:szCs w:val="30"/>
        </w:rPr>
        <w:t>12368</w:t>
      </w:r>
      <w:r>
        <w:rPr>
          <w:rFonts w:ascii="仿宋" w:eastAsia="仿宋" w:hAnsi="仿宋" w:cs="仿宋_GB2312" w:hint="eastAsia"/>
          <w:sz w:val="30"/>
          <w:szCs w:val="30"/>
        </w:rPr>
        <w:t>热线等方式解决群众诉求</w:t>
      </w:r>
      <w:r>
        <w:rPr>
          <w:rFonts w:ascii="仿宋" w:eastAsia="仿宋" w:hAnsi="仿宋" w:cs="仿宋_GB2312" w:hint="eastAsia"/>
          <w:sz w:val="30"/>
          <w:szCs w:val="30"/>
        </w:rPr>
        <w:t>45</w:t>
      </w:r>
      <w:r>
        <w:rPr>
          <w:rFonts w:ascii="仿宋" w:eastAsia="仿宋" w:hAnsi="仿宋" w:cs="仿宋_GB2312" w:hint="eastAsia"/>
          <w:sz w:val="30"/>
          <w:szCs w:val="30"/>
        </w:rPr>
        <w:t>万余个，联系法官到位率</w:t>
      </w:r>
      <w:r>
        <w:rPr>
          <w:rFonts w:ascii="仿宋" w:eastAsia="仿宋" w:hAnsi="仿宋" w:cs="仿宋_GB2312" w:hint="eastAsia"/>
          <w:sz w:val="30"/>
          <w:szCs w:val="30"/>
        </w:rPr>
        <w:t>100%</w:t>
      </w:r>
      <w:r>
        <w:rPr>
          <w:rFonts w:ascii="仿宋" w:eastAsia="仿宋" w:hAnsi="仿宋" w:cs="仿宋_GB2312" w:hint="eastAsia"/>
          <w:sz w:val="30"/>
          <w:szCs w:val="30"/>
        </w:rPr>
        <w:t>，受到群众表扬工单数居全市法院首位，群众诉讼体验和司法获得感不断提升。</w:t>
      </w:r>
    </w:p>
    <w:p w:rsidR="00AA0375" w:rsidRDefault="007B0031">
      <w:pPr>
        <w:pStyle w:val="a5"/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我院向区人大常委会专项汇报民事诉讼程序繁简分流改革工作，及时办理代表关注事项，代表建议办结满意率达</w:t>
      </w:r>
      <w:r>
        <w:rPr>
          <w:rFonts w:ascii="仿宋" w:eastAsia="仿宋" w:hAnsi="仿宋" w:cs="仿宋_GB2312" w:hint="eastAsia"/>
          <w:sz w:val="30"/>
          <w:szCs w:val="30"/>
        </w:rPr>
        <w:t>100%</w:t>
      </w:r>
      <w:r>
        <w:rPr>
          <w:rFonts w:ascii="仿宋" w:eastAsia="仿宋" w:hAnsi="仿宋" w:cs="仿宋_GB2312" w:hint="eastAsia"/>
          <w:sz w:val="30"/>
          <w:szCs w:val="30"/>
        </w:rPr>
        <w:t>。认真听取政协委员的意见建议，政协提案办结满意率达</w:t>
      </w:r>
      <w:r>
        <w:rPr>
          <w:rFonts w:ascii="仿宋" w:eastAsia="仿宋" w:hAnsi="仿宋" w:cs="仿宋_GB2312" w:hint="eastAsia"/>
          <w:sz w:val="30"/>
          <w:szCs w:val="30"/>
        </w:rPr>
        <w:t>100%</w:t>
      </w:r>
      <w:r>
        <w:rPr>
          <w:rFonts w:ascii="仿宋" w:eastAsia="仿宋" w:hAnsi="仿宋" w:cs="仿宋_GB2312" w:hint="eastAsia"/>
          <w:sz w:val="30"/>
          <w:szCs w:val="30"/>
        </w:rPr>
        <w:t>。</w:t>
      </w:r>
    </w:p>
    <w:p w:rsidR="00AA0375" w:rsidRDefault="007B0031">
      <w:pPr>
        <w:spacing w:line="600" w:lineRule="exact"/>
        <w:ind w:leftChars="50" w:left="105" w:firstLineChars="150" w:firstLine="480"/>
        <w:outlineLvl w:val="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四</w:t>
      </w:r>
      <w:r>
        <w:rPr>
          <w:rFonts w:ascii="黑体" w:eastAsia="黑体" w:hAnsi="黑体" w:cs="宋体"/>
          <w:color w:val="000000"/>
          <w:kern w:val="0"/>
          <w:sz w:val="32"/>
          <w:szCs w:val="32"/>
        </w:rPr>
        <w:t>、预算管理</w:t>
      </w: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情况分</w:t>
      </w:r>
      <w:r>
        <w:rPr>
          <w:rFonts w:ascii="黑体" w:eastAsia="黑体" w:hAnsi="黑体" w:cs="宋体"/>
          <w:color w:val="000000"/>
          <w:kern w:val="0"/>
          <w:sz w:val="32"/>
          <w:szCs w:val="32"/>
        </w:rPr>
        <w:t>析</w:t>
      </w:r>
    </w:p>
    <w:p w:rsidR="00AA0375" w:rsidRDefault="007B0031">
      <w:pPr>
        <w:spacing w:line="600" w:lineRule="exact"/>
        <w:ind w:leftChars="50" w:left="105" w:firstLineChars="150" w:firstLine="480"/>
        <w:outlineLvl w:val="1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（一）财务管理</w:t>
      </w:r>
    </w:p>
    <w:p w:rsidR="00AA0375" w:rsidRDefault="007B0031">
      <w:pPr>
        <w:spacing w:line="600" w:lineRule="exact"/>
        <w:ind w:leftChars="50" w:left="105" w:firstLineChars="150" w:firstLine="480"/>
        <w:outlineLvl w:val="2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财务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管理制度健全性</w:t>
      </w:r>
    </w:p>
    <w:p w:rsidR="00AA0375" w:rsidRDefault="007B0031">
      <w:pPr>
        <w:pStyle w:val="a5"/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我院制定了《北京市朝阳区人民法院财务管理规则》、《北京市朝阳区人民法院支出管理制度》、《北京市朝阳区人民法院公务用车经费管理办法》、《北京市朝阳区人民法院货币资金管理办法》、《北京市朝阳区人民法院差旅费管理办法》、《北京市朝阳区人民法院培训费管理办法》等相关制度，并按照制度规定执行。</w:t>
      </w:r>
    </w:p>
    <w:p w:rsidR="00AA0375" w:rsidRDefault="007B0031">
      <w:pPr>
        <w:spacing w:line="600" w:lineRule="exact"/>
        <w:ind w:leftChars="50" w:left="105" w:firstLineChars="150" w:firstLine="480"/>
        <w:outlineLvl w:val="2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资金使用合规性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和安全性</w:t>
      </w:r>
    </w:p>
    <w:p w:rsidR="00AA0375" w:rsidRDefault="007B0031">
      <w:pPr>
        <w:pStyle w:val="a5"/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我院认真执行预算资金管理规定，预算资金严格按资金用途专项用于各项目，做到专账核算，专人管理，专款专用，资金始终不脱离财政轨道。根据财经纪律，切实强化财政预算资金管理。对单位实施的项目高度重视，从项目</w:t>
      </w:r>
      <w:r>
        <w:rPr>
          <w:rFonts w:ascii="仿宋" w:eastAsia="仿宋" w:hAnsi="仿宋" w:cs="仿宋_GB2312" w:hint="eastAsia"/>
          <w:sz w:val="30"/>
          <w:szCs w:val="30"/>
        </w:rPr>
        <w:t>申报到项目验收都严格把关，最大限度发挥资金使用效益，不存在侵占、滞留、挤占、挪用、套用整合资金等问题。</w:t>
      </w:r>
    </w:p>
    <w:p w:rsidR="00AA0375" w:rsidRDefault="007B0031">
      <w:pPr>
        <w:spacing w:line="600" w:lineRule="exact"/>
        <w:ind w:leftChars="50" w:left="105" w:firstLineChars="150" w:firstLine="480"/>
        <w:outlineLvl w:val="2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会计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基础信息完善性</w:t>
      </w:r>
    </w:p>
    <w:p w:rsidR="00AA0375" w:rsidRPr="000564A2" w:rsidRDefault="006367D5" w:rsidP="000564A2">
      <w:pPr>
        <w:pStyle w:val="a5"/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 w:rsidRPr="006367D5">
        <w:rPr>
          <w:rFonts w:ascii="仿宋" w:eastAsia="仿宋" w:hAnsi="仿宋" w:cs="仿宋_GB2312" w:hint="eastAsia"/>
          <w:sz w:val="30"/>
          <w:szCs w:val="30"/>
        </w:rPr>
        <w:lastRenderedPageBreak/>
        <w:t>按政府会计制度</w:t>
      </w:r>
      <w:r w:rsidR="00F54EBF">
        <w:rPr>
          <w:rFonts w:ascii="仿宋" w:eastAsia="仿宋" w:hAnsi="仿宋" w:cs="仿宋_GB2312" w:hint="eastAsia"/>
          <w:sz w:val="30"/>
          <w:szCs w:val="30"/>
        </w:rPr>
        <w:t>等</w:t>
      </w:r>
      <w:r w:rsidRPr="006367D5">
        <w:rPr>
          <w:rFonts w:ascii="仿宋" w:eastAsia="仿宋" w:hAnsi="仿宋" w:cs="仿宋_GB2312" w:hint="eastAsia"/>
          <w:sz w:val="30"/>
          <w:szCs w:val="30"/>
        </w:rPr>
        <w:t>相关要求开展会计工作，注重财务、采购、审计等各类知识的学习与培训，积极参加预算、决算、财务报告等网上培训，保证了预决算及日常会计核算的规范性。会计基础数据信息和会计信息资料真实、完整、准确，相关管理工作较为规范。</w:t>
      </w:r>
    </w:p>
    <w:p w:rsidR="00AA0375" w:rsidRDefault="007B0031">
      <w:pPr>
        <w:spacing w:line="600" w:lineRule="exact"/>
        <w:ind w:leftChars="50" w:left="105" w:firstLineChars="150" w:firstLine="480"/>
        <w:outlineLvl w:val="1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（二）资产管理</w:t>
      </w:r>
    </w:p>
    <w:p w:rsidR="00416211" w:rsidRPr="00B8468B" w:rsidRDefault="00CB2C87" w:rsidP="00B8468B">
      <w:pPr>
        <w:spacing w:line="360" w:lineRule="auto"/>
        <w:ind w:firstLineChars="200" w:firstLine="600"/>
        <w:jc w:val="left"/>
        <w:rPr>
          <w:rFonts w:ascii="仿宋" w:eastAsia="仿宋" w:hAnsi="仿宋" w:hint="eastAsia"/>
          <w:sz w:val="30"/>
          <w:szCs w:val="30"/>
        </w:rPr>
      </w:pPr>
      <w:r w:rsidRPr="00701746">
        <w:rPr>
          <w:rFonts w:ascii="仿宋" w:eastAsia="仿宋" w:hAnsi="仿宋" w:hint="eastAsia"/>
          <w:sz w:val="30"/>
          <w:szCs w:val="30"/>
        </w:rPr>
        <w:t>我</w:t>
      </w:r>
      <w:r>
        <w:rPr>
          <w:rFonts w:ascii="仿宋" w:eastAsia="仿宋" w:hAnsi="仿宋" w:hint="eastAsia"/>
          <w:sz w:val="30"/>
          <w:szCs w:val="30"/>
        </w:rPr>
        <w:t>院</w:t>
      </w:r>
      <w:r w:rsidR="00100189" w:rsidRPr="00100189">
        <w:rPr>
          <w:rFonts w:ascii="仿宋" w:eastAsia="仿宋" w:hAnsi="仿宋" w:hint="eastAsia"/>
          <w:sz w:val="30"/>
          <w:szCs w:val="30"/>
        </w:rPr>
        <w:t>资产主要包括货币资金</w:t>
      </w:r>
      <w:r w:rsidR="00100189" w:rsidRPr="00100189">
        <w:rPr>
          <w:rFonts w:ascii="仿宋" w:eastAsia="仿宋" w:hAnsi="仿宋"/>
          <w:sz w:val="30"/>
          <w:szCs w:val="30"/>
        </w:rPr>
        <w:t>、</w:t>
      </w:r>
      <w:r w:rsidR="00100189" w:rsidRPr="00100189">
        <w:rPr>
          <w:rFonts w:ascii="仿宋" w:eastAsia="仿宋" w:hAnsi="仿宋" w:hint="eastAsia"/>
          <w:sz w:val="30"/>
          <w:szCs w:val="30"/>
        </w:rPr>
        <w:t>财政应返还额度等流动资产以及固定资产、无形资产等非流动资产</w:t>
      </w:r>
      <w:r w:rsidR="00100189" w:rsidRPr="00100189">
        <w:rPr>
          <w:rFonts w:ascii="仿宋" w:eastAsia="仿宋" w:hAnsi="仿宋"/>
          <w:sz w:val="30"/>
          <w:szCs w:val="30"/>
        </w:rPr>
        <w:t>，</w:t>
      </w:r>
      <w:r w:rsidR="00100189" w:rsidRPr="00100189">
        <w:rPr>
          <w:rFonts w:ascii="仿宋" w:eastAsia="仿宋" w:hAnsi="仿宋" w:hint="eastAsia"/>
          <w:sz w:val="30"/>
          <w:szCs w:val="30"/>
        </w:rPr>
        <w:t>另外还有记入受托代理资产核算的诉讼费退费备用金</w:t>
      </w:r>
      <w:r w:rsidR="00100189">
        <w:rPr>
          <w:rFonts w:ascii="仿宋" w:eastAsia="仿宋" w:hAnsi="仿宋" w:hint="eastAsia"/>
          <w:sz w:val="30"/>
          <w:szCs w:val="30"/>
        </w:rPr>
        <w:t>。</w:t>
      </w:r>
      <w:r w:rsidR="00416211" w:rsidRPr="00701746">
        <w:rPr>
          <w:rFonts w:ascii="仿宋" w:eastAsia="仿宋" w:hAnsi="仿宋" w:hint="eastAsia"/>
          <w:sz w:val="30"/>
          <w:szCs w:val="30"/>
        </w:rPr>
        <w:t>202</w:t>
      </w:r>
      <w:r w:rsidR="00416211" w:rsidRPr="00C42599">
        <w:rPr>
          <w:rFonts w:ascii="仿宋" w:eastAsia="仿宋" w:hAnsi="仿宋" w:hint="eastAsia"/>
          <w:sz w:val="30"/>
          <w:szCs w:val="30"/>
        </w:rPr>
        <w:t>3年12月31日资产合计27652.61万元,比上年20778.6万元增加6874.01</w:t>
      </w:r>
      <w:r w:rsidR="00416211" w:rsidRPr="00701746">
        <w:rPr>
          <w:rFonts w:ascii="仿宋" w:eastAsia="仿宋" w:hAnsi="仿宋" w:hint="eastAsia"/>
          <w:sz w:val="30"/>
          <w:szCs w:val="30"/>
        </w:rPr>
        <w:t>万元，其中流动资产</w:t>
      </w:r>
      <w:r w:rsidR="00416211">
        <w:rPr>
          <w:rFonts w:ascii="仿宋" w:eastAsia="仿宋" w:hAnsi="仿宋" w:hint="eastAsia"/>
          <w:sz w:val="30"/>
          <w:szCs w:val="30"/>
        </w:rPr>
        <w:t>1598.59</w:t>
      </w:r>
      <w:r w:rsidR="00416211" w:rsidRPr="00701746">
        <w:rPr>
          <w:rFonts w:ascii="仿宋" w:eastAsia="仿宋" w:hAnsi="仿宋" w:hint="eastAsia"/>
          <w:sz w:val="30"/>
          <w:szCs w:val="30"/>
        </w:rPr>
        <w:t>万元，非流动资产</w:t>
      </w:r>
      <w:r w:rsidR="00416211">
        <w:rPr>
          <w:rFonts w:ascii="仿宋" w:eastAsia="仿宋" w:hAnsi="仿宋" w:hint="eastAsia"/>
          <w:sz w:val="30"/>
          <w:szCs w:val="30"/>
        </w:rPr>
        <w:t>14419.94</w:t>
      </w:r>
      <w:r w:rsidR="00416211" w:rsidRPr="00701746">
        <w:rPr>
          <w:rFonts w:ascii="仿宋" w:eastAsia="仿宋" w:hAnsi="仿宋" w:hint="eastAsia"/>
          <w:sz w:val="30"/>
          <w:szCs w:val="30"/>
        </w:rPr>
        <w:t>万元，受托代理资产</w:t>
      </w:r>
      <w:r w:rsidR="00416211">
        <w:rPr>
          <w:rFonts w:ascii="仿宋" w:eastAsia="仿宋" w:hAnsi="仿宋" w:hint="eastAsia"/>
          <w:sz w:val="30"/>
          <w:szCs w:val="30"/>
        </w:rPr>
        <w:t>11634.08</w:t>
      </w:r>
      <w:r w:rsidR="00416211" w:rsidRPr="00701746">
        <w:rPr>
          <w:rFonts w:ascii="仿宋" w:eastAsia="仿宋" w:hAnsi="仿宋" w:hint="eastAsia"/>
          <w:sz w:val="30"/>
          <w:szCs w:val="30"/>
        </w:rPr>
        <w:t>万元，流动资产占资产合计比重为</w:t>
      </w:r>
      <w:r w:rsidR="00416211">
        <w:rPr>
          <w:rFonts w:ascii="仿宋" w:eastAsia="仿宋" w:hAnsi="仿宋" w:hint="eastAsia"/>
          <w:sz w:val="30"/>
          <w:szCs w:val="30"/>
        </w:rPr>
        <w:t>5.78</w:t>
      </w:r>
      <w:r w:rsidR="00416211" w:rsidRPr="00701746">
        <w:rPr>
          <w:rFonts w:ascii="仿宋" w:eastAsia="仿宋" w:hAnsi="仿宋" w:hint="eastAsia"/>
          <w:sz w:val="30"/>
          <w:szCs w:val="30"/>
        </w:rPr>
        <w:t>%，非流动资产占资产合计比重为</w:t>
      </w:r>
      <w:r w:rsidR="00416211">
        <w:rPr>
          <w:rFonts w:ascii="仿宋" w:eastAsia="仿宋" w:hAnsi="仿宋" w:hint="eastAsia"/>
          <w:sz w:val="30"/>
          <w:szCs w:val="30"/>
        </w:rPr>
        <w:t>52.15</w:t>
      </w:r>
      <w:r w:rsidR="00416211" w:rsidRPr="00701746">
        <w:rPr>
          <w:rFonts w:ascii="仿宋" w:eastAsia="仿宋" w:hAnsi="仿宋" w:hint="eastAsia"/>
          <w:sz w:val="30"/>
          <w:szCs w:val="30"/>
        </w:rPr>
        <w:t>%</w:t>
      </w:r>
      <w:r w:rsidR="00416211">
        <w:rPr>
          <w:rFonts w:ascii="仿宋" w:eastAsia="仿宋" w:hAnsi="仿宋" w:hint="eastAsia"/>
          <w:sz w:val="30"/>
          <w:szCs w:val="30"/>
        </w:rPr>
        <w:t>。流动资产占比最大的是货币资金</w:t>
      </w:r>
      <w:r w:rsidR="00416211" w:rsidRPr="00701746">
        <w:rPr>
          <w:rFonts w:ascii="仿宋" w:eastAsia="仿宋" w:hAnsi="仿宋" w:hint="eastAsia"/>
          <w:sz w:val="30"/>
          <w:szCs w:val="30"/>
        </w:rPr>
        <w:t>，为</w:t>
      </w:r>
      <w:r w:rsidR="00416211">
        <w:rPr>
          <w:rFonts w:ascii="仿宋" w:eastAsia="仿宋" w:hAnsi="仿宋" w:hint="eastAsia"/>
          <w:sz w:val="30"/>
          <w:szCs w:val="30"/>
        </w:rPr>
        <w:t>1048.38</w:t>
      </w:r>
      <w:r w:rsidR="00416211" w:rsidRPr="00701746">
        <w:rPr>
          <w:rFonts w:ascii="仿宋" w:eastAsia="仿宋" w:hAnsi="仿宋" w:hint="eastAsia"/>
          <w:sz w:val="30"/>
          <w:szCs w:val="30"/>
        </w:rPr>
        <w:t>万元，占流动资产的比重为</w:t>
      </w:r>
      <w:r w:rsidR="00416211">
        <w:rPr>
          <w:rFonts w:ascii="仿宋" w:eastAsia="仿宋" w:hAnsi="仿宋" w:hint="eastAsia"/>
          <w:sz w:val="30"/>
          <w:szCs w:val="30"/>
        </w:rPr>
        <w:t>65.58</w:t>
      </w:r>
      <w:r w:rsidR="00416211" w:rsidRPr="00701746">
        <w:rPr>
          <w:rFonts w:ascii="仿宋" w:eastAsia="仿宋" w:hAnsi="仿宋" w:hint="eastAsia"/>
          <w:sz w:val="30"/>
          <w:szCs w:val="30"/>
        </w:rPr>
        <w:t>%，非流动资产占比最大的是固定资产，固定资产净值为</w:t>
      </w:r>
      <w:r w:rsidR="00416211">
        <w:rPr>
          <w:rFonts w:ascii="仿宋" w:eastAsia="仿宋" w:hAnsi="仿宋" w:hint="eastAsia"/>
          <w:sz w:val="30"/>
          <w:szCs w:val="30"/>
        </w:rPr>
        <w:t>14227.12</w:t>
      </w:r>
      <w:r w:rsidR="00416211" w:rsidRPr="00701746">
        <w:rPr>
          <w:rFonts w:ascii="仿宋" w:eastAsia="仿宋" w:hAnsi="仿宋" w:hint="eastAsia"/>
          <w:sz w:val="30"/>
          <w:szCs w:val="30"/>
        </w:rPr>
        <w:t>万元，占非流动资产的比重为</w:t>
      </w:r>
      <w:r w:rsidR="00416211">
        <w:rPr>
          <w:rFonts w:ascii="仿宋" w:eastAsia="仿宋" w:hAnsi="仿宋" w:hint="eastAsia"/>
          <w:sz w:val="30"/>
          <w:szCs w:val="30"/>
        </w:rPr>
        <w:t>98.66</w:t>
      </w:r>
      <w:r w:rsidR="00416211" w:rsidRPr="00701746">
        <w:rPr>
          <w:rFonts w:ascii="仿宋" w:eastAsia="仿宋" w:hAnsi="仿宋" w:hint="eastAsia"/>
          <w:sz w:val="30"/>
          <w:szCs w:val="30"/>
        </w:rPr>
        <w:t>%。</w:t>
      </w:r>
    </w:p>
    <w:p w:rsidR="00AA0375" w:rsidRDefault="007B0031">
      <w:pPr>
        <w:pStyle w:val="a5"/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我院无对外投资项目，不存在对外投资行为未经审批及投资亏损的情况；也不存在因管理不当发生严重资产损失和丢失情况；我院资产使用符合规范，不存在未经批准擅自出租、出借资产行为；我院资产处置规范，不存在未按要求进行报批或资产不公开处置的行为。</w:t>
      </w:r>
    </w:p>
    <w:p w:rsidR="00AA0375" w:rsidRDefault="007B0031">
      <w:pPr>
        <w:pStyle w:val="a5"/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我院</w:t>
      </w:r>
      <w:r>
        <w:rPr>
          <w:rFonts w:ascii="仿宋" w:eastAsia="仿宋" w:hAnsi="仿宋" w:cs="仿宋_GB2312"/>
          <w:sz w:val="30"/>
          <w:szCs w:val="30"/>
        </w:rPr>
        <w:t>结合工作实际制定了</w:t>
      </w:r>
      <w:r>
        <w:rPr>
          <w:rFonts w:ascii="仿宋" w:eastAsia="仿宋" w:hAnsi="仿宋" w:cs="仿宋_GB2312" w:hint="eastAsia"/>
          <w:sz w:val="30"/>
          <w:szCs w:val="30"/>
        </w:rPr>
        <w:t>固定</w:t>
      </w:r>
      <w:r>
        <w:rPr>
          <w:rFonts w:ascii="仿宋" w:eastAsia="仿宋" w:hAnsi="仿宋" w:cs="仿宋_GB2312"/>
          <w:sz w:val="30"/>
          <w:szCs w:val="30"/>
        </w:rPr>
        <w:t>资产相关制度，</w:t>
      </w:r>
      <w:r>
        <w:rPr>
          <w:rFonts w:ascii="仿宋" w:eastAsia="仿宋" w:hAnsi="仿宋" w:cs="仿宋_GB2312" w:hint="eastAsia"/>
          <w:sz w:val="30"/>
          <w:szCs w:val="30"/>
        </w:rPr>
        <w:t>资产管理岗严</w:t>
      </w:r>
      <w:r w:rsidR="00DC534B">
        <w:rPr>
          <w:rFonts w:ascii="仿宋" w:eastAsia="仿宋" w:hAnsi="仿宋" w:cs="仿宋_GB2312" w:hint="eastAsia"/>
          <w:sz w:val="30"/>
          <w:szCs w:val="30"/>
        </w:rPr>
        <w:t>把固定资产登记环节，不断完善资产动态管理系统中的各项信息，</w:t>
      </w:r>
      <w:r>
        <w:rPr>
          <w:rFonts w:ascii="仿宋" w:eastAsia="仿宋" w:hAnsi="仿宋" w:cs="仿宋_GB2312"/>
          <w:sz w:val="30"/>
          <w:szCs w:val="30"/>
        </w:rPr>
        <w:lastRenderedPageBreak/>
        <w:t>有效维护了</w:t>
      </w:r>
      <w:r>
        <w:rPr>
          <w:rFonts w:ascii="仿宋" w:eastAsia="仿宋" w:hAnsi="仿宋" w:cs="仿宋_GB2312" w:hint="eastAsia"/>
          <w:sz w:val="30"/>
          <w:szCs w:val="30"/>
        </w:rPr>
        <w:t>我院</w:t>
      </w:r>
      <w:r>
        <w:rPr>
          <w:rFonts w:ascii="仿宋" w:eastAsia="仿宋" w:hAnsi="仿宋" w:cs="仿宋_GB2312"/>
          <w:sz w:val="30"/>
          <w:szCs w:val="30"/>
        </w:rPr>
        <w:t>的资产</w:t>
      </w:r>
      <w:r>
        <w:rPr>
          <w:rFonts w:ascii="仿宋" w:eastAsia="仿宋" w:hAnsi="仿宋" w:cs="仿宋_GB2312" w:hint="eastAsia"/>
          <w:sz w:val="30"/>
          <w:szCs w:val="30"/>
        </w:rPr>
        <w:t>安全。</w:t>
      </w:r>
    </w:p>
    <w:p w:rsidR="00AA0375" w:rsidRDefault="007B0031">
      <w:pPr>
        <w:spacing w:line="600" w:lineRule="exact"/>
        <w:ind w:leftChars="50" w:left="105" w:firstLineChars="150" w:firstLine="480"/>
        <w:outlineLvl w:val="1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（三）绩效</w:t>
      </w:r>
      <w:r>
        <w:rPr>
          <w:rFonts w:ascii="楷体_GB2312" w:eastAsia="楷体_GB2312"/>
          <w:sz w:val="32"/>
          <w:szCs w:val="32"/>
        </w:rPr>
        <w:t>管理</w:t>
      </w:r>
    </w:p>
    <w:p w:rsidR="00AA0375" w:rsidRDefault="007B0031">
      <w:pPr>
        <w:pStyle w:val="a5"/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我院对</w:t>
      </w:r>
      <w:r>
        <w:rPr>
          <w:rFonts w:ascii="仿宋" w:eastAsia="仿宋" w:hAnsi="仿宋" w:cs="仿宋_GB2312" w:hint="eastAsia"/>
          <w:sz w:val="30"/>
          <w:szCs w:val="30"/>
        </w:rPr>
        <w:t>2023</w:t>
      </w:r>
      <w:r>
        <w:rPr>
          <w:rFonts w:ascii="仿宋" w:eastAsia="仿宋" w:hAnsi="仿宋" w:cs="仿宋_GB2312" w:hint="eastAsia"/>
          <w:sz w:val="30"/>
          <w:szCs w:val="30"/>
        </w:rPr>
        <w:t>年度部门项目支出实施了绩效评价，重点评价项目</w:t>
      </w:r>
      <w:r>
        <w:rPr>
          <w:rFonts w:ascii="仿宋" w:eastAsia="仿宋" w:hAnsi="仿宋" w:cs="仿宋_GB2312" w:hint="eastAsia"/>
          <w:sz w:val="30"/>
          <w:szCs w:val="30"/>
        </w:rPr>
        <w:t>1</w:t>
      </w:r>
      <w:r>
        <w:rPr>
          <w:rFonts w:ascii="仿宋" w:eastAsia="仿宋" w:hAnsi="仿宋" w:cs="仿宋_GB2312" w:hint="eastAsia"/>
          <w:sz w:val="30"/>
          <w:szCs w:val="30"/>
        </w:rPr>
        <w:t>个，涉及金额</w:t>
      </w:r>
      <w:r>
        <w:rPr>
          <w:rFonts w:ascii="仿宋" w:eastAsia="仿宋" w:hAnsi="仿宋" w:cs="仿宋_GB2312" w:hint="eastAsia"/>
          <w:sz w:val="30"/>
          <w:szCs w:val="30"/>
        </w:rPr>
        <w:t>59</w:t>
      </w:r>
      <w:r>
        <w:rPr>
          <w:rFonts w:ascii="仿宋" w:eastAsia="仿宋" w:hAnsi="仿宋" w:cs="仿宋_GB2312" w:hint="eastAsia"/>
          <w:sz w:val="30"/>
          <w:szCs w:val="30"/>
        </w:rPr>
        <w:t>88.04</w:t>
      </w:r>
      <w:r>
        <w:rPr>
          <w:rFonts w:ascii="仿宋" w:eastAsia="仿宋" w:hAnsi="仿宋" w:cs="仿宋_GB2312" w:hint="eastAsia"/>
          <w:sz w:val="30"/>
          <w:szCs w:val="30"/>
        </w:rPr>
        <w:t>万元。评价得分为“优”。</w:t>
      </w:r>
    </w:p>
    <w:p w:rsidR="00AA0375" w:rsidRDefault="007B0031">
      <w:pPr>
        <w:pStyle w:val="a5"/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我院在预算绩效管理主体责任的落实情况及工作开展情况上，积极稳妥且富有成效，在进一步推动法院在绩效指标设计上，能较准确体现项目的实际决策、产出及效益情况，扩大定量指标的设置，落实成本控制不超预算，绩效管理较上一年有明显进步。</w:t>
      </w:r>
    </w:p>
    <w:p w:rsidR="00AA0375" w:rsidRDefault="007B0031">
      <w:pPr>
        <w:pStyle w:val="a5"/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我院</w:t>
      </w:r>
      <w:r>
        <w:rPr>
          <w:rFonts w:ascii="仿宋" w:eastAsia="仿宋" w:hAnsi="仿宋" w:cs="仿宋_GB2312"/>
          <w:sz w:val="30"/>
          <w:szCs w:val="30"/>
        </w:rPr>
        <w:t>预期绩效指标</w:t>
      </w:r>
      <w:r>
        <w:rPr>
          <w:rFonts w:ascii="仿宋" w:eastAsia="仿宋" w:hAnsi="仿宋" w:cs="仿宋_GB2312" w:hint="eastAsia"/>
          <w:sz w:val="30"/>
          <w:szCs w:val="30"/>
        </w:rPr>
        <w:t>多维性和细化性</w:t>
      </w:r>
      <w:r>
        <w:rPr>
          <w:rFonts w:ascii="仿宋" w:eastAsia="仿宋" w:hAnsi="仿宋" w:cs="仿宋_GB2312"/>
          <w:sz w:val="30"/>
          <w:szCs w:val="30"/>
        </w:rPr>
        <w:t>有待进一步提高，质量、进度、成本有待进一步明确，需要进一步加强绩效管理人员的职责分工。</w:t>
      </w:r>
    </w:p>
    <w:p w:rsidR="00AA0375" w:rsidRDefault="007B0031">
      <w:pPr>
        <w:spacing w:line="600" w:lineRule="exact"/>
        <w:ind w:leftChars="50" w:left="105" w:firstLineChars="150" w:firstLine="480"/>
        <w:outlineLvl w:val="1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（四）结转结余率</w:t>
      </w:r>
    </w:p>
    <w:p w:rsidR="00AA0375" w:rsidRDefault="007B0031">
      <w:pPr>
        <w:pStyle w:val="a5"/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2023</w:t>
      </w:r>
      <w:r>
        <w:rPr>
          <w:rFonts w:ascii="仿宋" w:eastAsia="仿宋" w:hAnsi="仿宋" w:cs="仿宋_GB2312" w:hint="eastAsia"/>
          <w:sz w:val="30"/>
          <w:szCs w:val="30"/>
        </w:rPr>
        <w:t>年全年预算支出</w:t>
      </w:r>
      <w:r>
        <w:rPr>
          <w:rFonts w:ascii="仿宋" w:eastAsia="仿宋" w:hAnsi="仿宋" w:cs="仿宋_GB2312"/>
          <w:sz w:val="30"/>
          <w:szCs w:val="30"/>
        </w:rPr>
        <w:t>51220.19</w:t>
      </w:r>
      <w:r>
        <w:rPr>
          <w:rFonts w:ascii="仿宋" w:eastAsia="仿宋" w:hAnsi="仿宋" w:cs="仿宋_GB2312" w:hint="eastAsia"/>
          <w:sz w:val="30"/>
          <w:szCs w:val="30"/>
        </w:rPr>
        <w:t>万元，结转结余资金</w:t>
      </w:r>
      <w:r>
        <w:rPr>
          <w:rFonts w:ascii="仿宋" w:eastAsia="仿宋" w:hAnsi="仿宋" w:cs="仿宋_GB2312" w:hint="eastAsia"/>
          <w:sz w:val="30"/>
          <w:szCs w:val="30"/>
        </w:rPr>
        <w:t>604.07</w:t>
      </w:r>
      <w:r>
        <w:rPr>
          <w:rFonts w:ascii="仿宋" w:eastAsia="仿宋" w:hAnsi="仿宋" w:cs="仿宋_GB2312" w:hint="eastAsia"/>
          <w:sz w:val="30"/>
          <w:szCs w:val="30"/>
        </w:rPr>
        <w:t>万元，结转结余率</w:t>
      </w:r>
      <w:r>
        <w:rPr>
          <w:rFonts w:ascii="仿宋" w:eastAsia="仿宋" w:hAnsi="仿宋" w:cs="仿宋_GB2312" w:hint="eastAsia"/>
          <w:sz w:val="30"/>
          <w:szCs w:val="30"/>
        </w:rPr>
        <w:t>1.18%</w:t>
      </w:r>
      <w:r>
        <w:rPr>
          <w:rFonts w:ascii="仿宋" w:eastAsia="仿宋" w:hAnsi="仿宋" w:cs="仿宋_GB2312" w:hint="eastAsia"/>
          <w:sz w:val="30"/>
          <w:szCs w:val="30"/>
        </w:rPr>
        <w:t>。</w:t>
      </w:r>
    </w:p>
    <w:p w:rsidR="00AA0375" w:rsidRDefault="007B0031">
      <w:pPr>
        <w:spacing w:line="600" w:lineRule="exact"/>
        <w:ind w:leftChars="50" w:left="105" w:firstLineChars="150" w:firstLine="480"/>
        <w:outlineLvl w:val="1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（五）部门</w:t>
      </w:r>
      <w:r>
        <w:rPr>
          <w:rFonts w:ascii="楷体_GB2312" w:eastAsia="楷体_GB2312"/>
          <w:sz w:val="32"/>
          <w:szCs w:val="32"/>
        </w:rPr>
        <w:t>预决算差</w:t>
      </w:r>
      <w:r>
        <w:rPr>
          <w:rFonts w:ascii="楷体_GB2312" w:eastAsia="楷体_GB2312"/>
          <w:sz w:val="32"/>
          <w:szCs w:val="32"/>
        </w:rPr>
        <w:t>异率</w:t>
      </w:r>
    </w:p>
    <w:p w:rsidR="00AA0375" w:rsidRDefault="007B0031">
      <w:pPr>
        <w:pStyle w:val="a5"/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2023</w:t>
      </w:r>
      <w:r>
        <w:rPr>
          <w:rFonts w:ascii="仿宋" w:eastAsia="仿宋" w:hAnsi="仿宋" w:cs="仿宋_GB2312" w:hint="eastAsia"/>
          <w:sz w:val="30"/>
          <w:szCs w:val="30"/>
        </w:rPr>
        <w:t>年年初部门预算</w:t>
      </w:r>
      <w:r>
        <w:rPr>
          <w:rFonts w:ascii="仿宋" w:eastAsia="仿宋" w:hAnsi="仿宋" w:cs="仿宋_GB2312" w:hint="eastAsia"/>
          <w:sz w:val="30"/>
          <w:szCs w:val="30"/>
        </w:rPr>
        <w:t>50064.90</w:t>
      </w:r>
      <w:r>
        <w:rPr>
          <w:rFonts w:ascii="仿宋" w:eastAsia="仿宋" w:hAnsi="仿宋" w:cs="仿宋_GB2312" w:hint="eastAsia"/>
          <w:sz w:val="30"/>
          <w:szCs w:val="30"/>
        </w:rPr>
        <w:t>万元，年度部门决算</w:t>
      </w:r>
      <w:r>
        <w:rPr>
          <w:rFonts w:ascii="仿宋" w:eastAsia="仿宋" w:hAnsi="仿宋" w:cs="仿宋_GB2312"/>
          <w:sz w:val="30"/>
          <w:szCs w:val="30"/>
        </w:rPr>
        <w:t>50616.11</w:t>
      </w:r>
      <w:r>
        <w:rPr>
          <w:rFonts w:ascii="仿宋" w:eastAsia="仿宋" w:hAnsi="仿宋" w:cs="仿宋_GB2312" w:hint="eastAsia"/>
          <w:sz w:val="30"/>
          <w:szCs w:val="30"/>
        </w:rPr>
        <w:t>万元，部门预决算差异率</w:t>
      </w:r>
      <w:r>
        <w:rPr>
          <w:rFonts w:ascii="仿宋" w:eastAsia="仿宋" w:hAnsi="仿宋" w:cs="仿宋_GB2312" w:hint="eastAsia"/>
          <w:sz w:val="30"/>
          <w:szCs w:val="30"/>
        </w:rPr>
        <w:t>1.10%</w:t>
      </w:r>
      <w:r>
        <w:rPr>
          <w:rFonts w:ascii="仿宋" w:eastAsia="仿宋" w:hAnsi="仿宋" w:cs="仿宋_GB2312" w:hint="eastAsia"/>
          <w:sz w:val="30"/>
          <w:szCs w:val="30"/>
        </w:rPr>
        <w:t>。</w:t>
      </w:r>
    </w:p>
    <w:p w:rsidR="00AA0375" w:rsidRDefault="007B0031">
      <w:pPr>
        <w:spacing w:line="600" w:lineRule="exact"/>
        <w:ind w:leftChars="50" w:left="105" w:firstLineChars="150" w:firstLine="48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五、总体</w:t>
      </w:r>
      <w:r>
        <w:rPr>
          <w:rFonts w:ascii="黑体" w:eastAsia="黑体" w:hAnsi="黑体"/>
          <w:sz w:val="32"/>
          <w:szCs w:val="32"/>
        </w:rPr>
        <w:t>评价结论</w:t>
      </w:r>
    </w:p>
    <w:p w:rsidR="00AA0375" w:rsidRDefault="007B0031">
      <w:pPr>
        <w:spacing w:line="600" w:lineRule="exact"/>
        <w:ind w:leftChars="50" w:left="105" w:firstLineChars="150" w:firstLine="480"/>
        <w:outlineLvl w:val="1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（一）评价</w:t>
      </w:r>
      <w:r>
        <w:rPr>
          <w:rFonts w:ascii="楷体_GB2312" w:eastAsia="楷体_GB2312"/>
          <w:sz w:val="32"/>
          <w:szCs w:val="32"/>
        </w:rPr>
        <w:t>得分</w:t>
      </w:r>
      <w:r>
        <w:rPr>
          <w:rFonts w:ascii="楷体_GB2312" w:eastAsia="楷体_GB2312" w:hint="eastAsia"/>
          <w:sz w:val="32"/>
          <w:szCs w:val="32"/>
        </w:rPr>
        <w:t>情况</w:t>
      </w:r>
    </w:p>
    <w:p w:rsidR="00AA0375" w:rsidRDefault="007B0031">
      <w:pPr>
        <w:pStyle w:val="a5"/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2023</w:t>
      </w:r>
      <w:r>
        <w:rPr>
          <w:rFonts w:ascii="仿宋" w:eastAsia="仿宋" w:hAnsi="仿宋" w:cs="仿宋_GB2312" w:hint="eastAsia"/>
          <w:sz w:val="30"/>
          <w:szCs w:val="30"/>
        </w:rPr>
        <w:t>年</w:t>
      </w:r>
      <w:r>
        <w:rPr>
          <w:rFonts w:ascii="仿宋" w:eastAsia="仿宋" w:hAnsi="仿宋" w:cs="仿宋_GB2312"/>
          <w:sz w:val="30"/>
          <w:szCs w:val="30"/>
        </w:rPr>
        <w:t>度</w:t>
      </w:r>
      <w:r>
        <w:rPr>
          <w:rFonts w:ascii="仿宋" w:eastAsia="仿宋" w:hAnsi="仿宋" w:cs="仿宋_GB2312" w:hint="eastAsia"/>
          <w:sz w:val="30"/>
          <w:szCs w:val="30"/>
        </w:rPr>
        <w:t>我院部门整体</w:t>
      </w:r>
      <w:r>
        <w:rPr>
          <w:rFonts w:ascii="仿宋" w:eastAsia="仿宋" w:hAnsi="仿宋" w:cs="仿宋_GB2312"/>
          <w:sz w:val="30"/>
          <w:szCs w:val="30"/>
        </w:rPr>
        <w:t>支出绩效评价综合得分</w:t>
      </w:r>
      <w:bookmarkStart w:id="0" w:name="_Hlk77081133"/>
      <w:r>
        <w:rPr>
          <w:rFonts w:ascii="仿宋" w:eastAsia="仿宋" w:hAnsi="仿宋" w:cs="仿宋_GB2312" w:hint="eastAsia"/>
          <w:sz w:val="30"/>
          <w:szCs w:val="30"/>
        </w:rPr>
        <w:t>92.26</w:t>
      </w:r>
      <w:r>
        <w:rPr>
          <w:rFonts w:ascii="仿宋" w:eastAsia="仿宋" w:hAnsi="仿宋" w:cs="仿宋_GB2312"/>
          <w:sz w:val="30"/>
          <w:szCs w:val="30"/>
        </w:rPr>
        <w:t>分，综合绩效评定结论为</w:t>
      </w:r>
      <w:r>
        <w:rPr>
          <w:rFonts w:ascii="仿宋" w:eastAsia="仿宋" w:hAnsi="仿宋" w:cs="仿宋_GB2312"/>
          <w:sz w:val="30"/>
          <w:szCs w:val="30"/>
        </w:rPr>
        <w:t>“</w:t>
      </w:r>
      <w:r>
        <w:rPr>
          <w:rFonts w:ascii="仿宋" w:eastAsia="仿宋" w:hAnsi="仿宋" w:cs="仿宋_GB2312" w:hint="eastAsia"/>
          <w:sz w:val="30"/>
          <w:szCs w:val="30"/>
        </w:rPr>
        <w:t>优</w:t>
      </w:r>
      <w:r>
        <w:rPr>
          <w:rFonts w:ascii="仿宋" w:eastAsia="仿宋" w:hAnsi="仿宋" w:cs="仿宋_GB2312"/>
          <w:sz w:val="30"/>
          <w:szCs w:val="30"/>
        </w:rPr>
        <w:t>”</w:t>
      </w:r>
      <w:bookmarkEnd w:id="0"/>
      <w:r>
        <w:rPr>
          <w:rFonts w:ascii="仿宋" w:eastAsia="仿宋" w:hAnsi="仿宋" w:cs="仿宋_GB2312" w:hint="eastAsia"/>
          <w:sz w:val="30"/>
          <w:szCs w:val="30"/>
        </w:rPr>
        <w:t>。</w:t>
      </w:r>
    </w:p>
    <w:p w:rsidR="00AA0375" w:rsidRDefault="007B0031">
      <w:pPr>
        <w:pStyle w:val="a5"/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其中当年预算执行情况得分为</w:t>
      </w:r>
      <w:r>
        <w:rPr>
          <w:rFonts w:ascii="仿宋" w:eastAsia="仿宋" w:hAnsi="仿宋" w:cs="仿宋_GB2312" w:hint="eastAsia"/>
          <w:sz w:val="30"/>
          <w:szCs w:val="30"/>
        </w:rPr>
        <w:t>19.76</w:t>
      </w:r>
      <w:r>
        <w:rPr>
          <w:rFonts w:ascii="仿宋" w:eastAsia="仿宋" w:hAnsi="仿宋" w:cs="仿宋_GB2312" w:hint="eastAsia"/>
          <w:sz w:val="30"/>
          <w:szCs w:val="30"/>
        </w:rPr>
        <w:t>分；整体绩效目标实现情况得分为</w:t>
      </w:r>
      <w:r>
        <w:rPr>
          <w:rFonts w:ascii="仿宋" w:eastAsia="仿宋" w:hAnsi="仿宋" w:cs="仿宋_GB2312" w:hint="eastAsia"/>
          <w:sz w:val="30"/>
          <w:szCs w:val="30"/>
        </w:rPr>
        <w:t>53.50</w:t>
      </w:r>
      <w:r>
        <w:rPr>
          <w:rFonts w:ascii="仿宋" w:eastAsia="仿宋" w:hAnsi="仿宋" w:cs="仿宋_GB2312" w:hint="eastAsia"/>
          <w:sz w:val="30"/>
          <w:szCs w:val="30"/>
        </w:rPr>
        <w:t>分；预算管理情况得分</w:t>
      </w:r>
      <w:r>
        <w:rPr>
          <w:rFonts w:ascii="仿宋" w:eastAsia="仿宋" w:hAnsi="仿宋" w:cs="仿宋_GB2312" w:hint="eastAsia"/>
          <w:sz w:val="30"/>
          <w:szCs w:val="30"/>
        </w:rPr>
        <w:t>19.00</w:t>
      </w:r>
      <w:r>
        <w:rPr>
          <w:rFonts w:ascii="仿宋" w:eastAsia="仿宋" w:hAnsi="仿宋" w:cs="仿宋_GB2312" w:hint="eastAsia"/>
          <w:sz w:val="30"/>
          <w:szCs w:val="30"/>
        </w:rPr>
        <w:t>分。</w:t>
      </w:r>
    </w:p>
    <w:p w:rsidR="00AA0375" w:rsidRDefault="007B0031">
      <w:pPr>
        <w:spacing w:line="600" w:lineRule="exact"/>
        <w:ind w:leftChars="50" w:left="105" w:firstLineChars="150" w:firstLine="480"/>
        <w:outlineLvl w:val="1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（二）存在的问题及原因分析</w:t>
      </w:r>
    </w:p>
    <w:p w:rsidR="00AA0375" w:rsidRDefault="007B0031">
      <w:pPr>
        <w:pStyle w:val="a5"/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lastRenderedPageBreak/>
        <w:t>1.</w:t>
      </w:r>
      <w:r>
        <w:rPr>
          <w:rFonts w:ascii="仿宋" w:eastAsia="仿宋" w:hAnsi="仿宋" w:cs="仿宋_GB2312"/>
          <w:sz w:val="30"/>
          <w:szCs w:val="30"/>
        </w:rPr>
        <w:t>部门整体绩效目标较为清晰</w:t>
      </w:r>
      <w:r>
        <w:rPr>
          <w:rFonts w:ascii="仿宋" w:eastAsia="仿宋" w:hAnsi="仿宋" w:cs="仿宋_GB2312"/>
          <w:sz w:val="30"/>
          <w:szCs w:val="30"/>
        </w:rPr>
        <w:t>,</w:t>
      </w:r>
      <w:r>
        <w:rPr>
          <w:rFonts w:ascii="仿宋" w:eastAsia="仿宋" w:hAnsi="仿宋" w:cs="仿宋_GB2312"/>
          <w:sz w:val="30"/>
          <w:szCs w:val="30"/>
        </w:rPr>
        <w:t>但大部分指标细化、量化</w:t>
      </w:r>
      <w:r>
        <w:rPr>
          <w:rFonts w:ascii="仿宋" w:eastAsia="仿宋" w:hAnsi="仿宋" w:cs="仿宋_GB2312" w:hint="eastAsia"/>
          <w:sz w:val="30"/>
          <w:szCs w:val="30"/>
        </w:rPr>
        <w:t>不足</w:t>
      </w:r>
      <w:r>
        <w:rPr>
          <w:rFonts w:ascii="仿宋" w:eastAsia="仿宋" w:hAnsi="仿宋" w:cs="仿宋_GB2312"/>
          <w:sz w:val="30"/>
          <w:szCs w:val="30"/>
        </w:rPr>
        <w:t>。</w:t>
      </w:r>
    </w:p>
    <w:p w:rsidR="00AA0375" w:rsidRPr="00F7462C" w:rsidRDefault="007B0031">
      <w:pPr>
        <w:pStyle w:val="a5"/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 w:rsidRPr="00F7462C">
        <w:rPr>
          <w:rFonts w:ascii="仿宋" w:eastAsia="仿宋" w:hAnsi="仿宋" w:cs="仿宋_GB2312" w:hint="eastAsia"/>
          <w:sz w:val="30"/>
          <w:szCs w:val="30"/>
        </w:rPr>
        <w:t>2.</w:t>
      </w:r>
      <w:r w:rsidRPr="00F7462C">
        <w:rPr>
          <w:rFonts w:ascii="仿宋" w:eastAsia="仿宋" w:hAnsi="仿宋" w:cs="仿宋_GB2312" w:hint="eastAsia"/>
          <w:sz w:val="30"/>
          <w:szCs w:val="30"/>
        </w:rPr>
        <w:t>未结案件清理率低于全市法院平均值</w:t>
      </w:r>
      <w:r w:rsidRPr="00F7462C">
        <w:rPr>
          <w:rFonts w:ascii="仿宋" w:eastAsia="仿宋" w:hAnsi="仿宋" w:cs="仿宋_GB2312" w:hint="eastAsia"/>
          <w:sz w:val="30"/>
          <w:szCs w:val="30"/>
        </w:rPr>
        <w:t>,</w:t>
      </w:r>
      <w:r w:rsidRPr="00F7462C">
        <w:rPr>
          <w:rFonts w:ascii="仿宋" w:eastAsia="仿宋" w:hAnsi="仿宋" w:cs="仿宋_GB2312" w:hint="eastAsia"/>
          <w:sz w:val="30"/>
          <w:szCs w:val="30"/>
        </w:rPr>
        <w:t>最后一次开庭至结案平均天数高于全市法院平均值</w:t>
      </w:r>
      <w:r w:rsidRPr="00F7462C">
        <w:rPr>
          <w:rFonts w:ascii="仿宋" w:eastAsia="仿宋" w:hAnsi="仿宋" w:cs="仿宋_GB2312" w:hint="eastAsia"/>
          <w:sz w:val="30"/>
          <w:szCs w:val="30"/>
        </w:rPr>
        <w:t>,</w:t>
      </w:r>
      <w:r w:rsidR="00853FA1" w:rsidRPr="00F7462C">
        <w:rPr>
          <w:rFonts w:ascii="仿宋" w:eastAsia="仿宋" w:hAnsi="仿宋" w:cs="仿宋_GB2312" w:hint="eastAsia"/>
          <w:sz w:val="30"/>
          <w:szCs w:val="30"/>
        </w:rPr>
        <w:t>审执</w:t>
      </w:r>
      <w:r w:rsidR="00400ED1" w:rsidRPr="00F7462C">
        <w:rPr>
          <w:rFonts w:ascii="仿宋" w:eastAsia="仿宋" w:hAnsi="仿宋" w:cs="仿宋_GB2312" w:hint="eastAsia"/>
          <w:sz w:val="30"/>
          <w:szCs w:val="30"/>
        </w:rPr>
        <w:t>工作效率需要进一步提升。</w:t>
      </w:r>
    </w:p>
    <w:p w:rsidR="00AA0375" w:rsidRPr="00F7462C" w:rsidRDefault="007B0031">
      <w:pPr>
        <w:pStyle w:val="a5"/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 w:rsidRPr="00F7462C">
        <w:rPr>
          <w:rFonts w:ascii="仿宋" w:eastAsia="仿宋" w:hAnsi="仿宋" w:cs="仿宋_GB2312" w:hint="eastAsia"/>
          <w:sz w:val="30"/>
          <w:szCs w:val="30"/>
        </w:rPr>
        <w:t>3</w:t>
      </w:r>
      <w:r w:rsidRPr="00F7462C">
        <w:rPr>
          <w:rFonts w:ascii="仿宋" w:eastAsia="仿宋" w:hAnsi="仿宋" w:cs="仿宋_GB2312" w:hint="eastAsia"/>
          <w:sz w:val="30"/>
          <w:szCs w:val="30"/>
        </w:rPr>
        <w:t>满意度调查问卷调查指标设计不完善，需增加调查维度，并对指标进行充分的细化、量化。</w:t>
      </w:r>
    </w:p>
    <w:p w:rsidR="00AA0375" w:rsidRPr="00F7462C" w:rsidRDefault="007B0031">
      <w:pPr>
        <w:spacing w:line="600" w:lineRule="exact"/>
        <w:ind w:firstLineChars="200" w:firstLine="640"/>
        <w:outlineLvl w:val="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F7462C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六、措施建议</w:t>
      </w:r>
    </w:p>
    <w:p w:rsidR="00AA0375" w:rsidRPr="00F7462C" w:rsidRDefault="007B0031">
      <w:pPr>
        <w:pStyle w:val="a5"/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 w:rsidRPr="00F7462C">
        <w:rPr>
          <w:rFonts w:ascii="仿宋" w:eastAsia="仿宋" w:hAnsi="仿宋" w:cs="仿宋_GB2312" w:hint="eastAsia"/>
          <w:sz w:val="30"/>
          <w:szCs w:val="30"/>
        </w:rPr>
        <w:t>（一）提高绩效考核认识，加强精细管理，对年度部门整体目标进行细化、量化设计，以促进绩效考核目标的实现。</w:t>
      </w:r>
    </w:p>
    <w:p w:rsidR="00AA0375" w:rsidRPr="00F7462C" w:rsidRDefault="007B0031" w:rsidP="00400ED1">
      <w:pPr>
        <w:pStyle w:val="a5"/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 w:rsidRPr="00F7462C">
        <w:rPr>
          <w:rFonts w:ascii="仿宋" w:eastAsia="仿宋" w:hAnsi="仿宋" w:cs="仿宋_GB2312" w:hint="eastAsia"/>
          <w:sz w:val="30"/>
          <w:szCs w:val="30"/>
        </w:rPr>
        <w:t>（二）加强办案规范化建设，强化素质建设和人才培养，提高业务能力，健全科学的考核评价机制，</w:t>
      </w:r>
      <w:r w:rsidR="00400ED1" w:rsidRPr="00F7462C">
        <w:rPr>
          <w:rFonts w:ascii="仿宋" w:eastAsia="仿宋" w:hAnsi="仿宋" w:cs="仿宋_GB2312" w:hint="eastAsia"/>
          <w:sz w:val="30"/>
          <w:szCs w:val="30"/>
        </w:rPr>
        <w:t>全面提升审执工作质量、效率、效果。</w:t>
      </w:r>
    </w:p>
    <w:p w:rsidR="00AA0375" w:rsidRDefault="007B0031">
      <w:pPr>
        <w:pStyle w:val="a5"/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（三）树立司法公正、司法为民的理念，深入了解民众的诉求，设计出充分、实效、细化、量化的满意度调查问卷，</w:t>
      </w:r>
      <w:r w:rsidR="00E53795">
        <w:rPr>
          <w:rFonts w:ascii="仿宋" w:eastAsia="仿宋" w:hAnsi="仿宋" w:cs="仿宋_GB2312" w:hint="eastAsia"/>
          <w:sz w:val="30"/>
          <w:szCs w:val="30"/>
        </w:rPr>
        <w:t>可以利用信息化手段</w:t>
      </w:r>
      <w:r>
        <w:rPr>
          <w:rFonts w:ascii="仿宋" w:eastAsia="仿宋" w:hAnsi="仿宋" w:cs="仿宋_GB2312" w:hint="eastAsia"/>
          <w:sz w:val="30"/>
          <w:szCs w:val="30"/>
        </w:rPr>
        <w:t>进行广泛的社会调查。</w:t>
      </w:r>
    </w:p>
    <w:p w:rsidR="00AA0375" w:rsidRDefault="007B0031">
      <w:pPr>
        <w:pStyle w:val="1"/>
        <w:rPr>
          <w:sz w:val="32"/>
          <w:szCs w:val="32"/>
        </w:rPr>
      </w:pPr>
      <w:bookmarkStart w:id="1" w:name="_Toc103006301"/>
      <w:r>
        <w:rPr>
          <w:rFonts w:hint="eastAsia"/>
          <w:sz w:val="32"/>
          <w:szCs w:val="32"/>
        </w:rPr>
        <w:t>七、附件</w:t>
      </w:r>
      <w:bookmarkEnd w:id="1"/>
    </w:p>
    <w:p w:rsidR="00AA0375" w:rsidRDefault="00AA0375">
      <w:pPr>
        <w:jc w:val="center"/>
      </w:pPr>
    </w:p>
    <w:p w:rsidR="00AA0375" w:rsidRDefault="00AA0375">
      <w:pPr>
        <w:jc w:val="center"/>
      </w:pPr>
    </w:p>
    <w:p w:rsidR="00AA0375" w:rsidRDefault="00AA0375">
      <w:pPr>
        <w:jc w:val="center"/>
      </w:pPr>
    </w:p>
    <w:p w:rsidR="00AA0375" w:rsidRDefault="00AA0375">
      <w:pPr>
        <w:jc w:val="center"/>
      </w:pPr>
    </w:p>
    <w:p w:rsidR="00AA0375" w:rsidRDefault="00AA0375">
      <w:pPr>
        <w:jc w:val="center"/>
      </w:pPr>
    </w:p>
    <w:p w:rsidR="00AA0375" w:rsidRDefault="00AA0375"/>
    <w:p w:rsidR="00AA0375" w:rsidRDefault="00AA0375"/>
    <w:p w:rsidR="00AA0375" w:rsidRDefault="00AA0375"/>
    <w:p w:rsidR="00AA0375" w:rsidRDefault="00AA0375"/>
    <w:p w:rsidR="00AA0375" w:rsidRDefault="00AA0375">
      <w:pPr>
        <w:jc w:val="center"/>
      </w:pPr>
    </w:p>
    <w:p w:rsidR="00AA0375" w:rsidRDefault="00AA0375">
      <w:pPr>
        <w:jc w:val="center"/>
      </w:pPr>
    </w:p>
    <w:p w:rsidR="00AA0375" w:rsidRDefault="00AA0375"/>
    <w:p w:rsidR="00AA0375" w:rsidRDefault="00AA0375">
      <w:pPr>
        <w:jc w:val="center"/>
      </w:pPr>
    </w:p>
    <w:p w:rsidR="00AA0375" w:rsidRDefault="00AA0375">
      <w:pPr>
        <w:jc w:val="center"/>
      </w:pPr>
    </w:p>
    <w:p w:rsidR="00AA0375" w:rsidRDefault="00AA0375">
      <w:pPr>
        <w:jc w:val="center"/>
      </w:pPr>
    </w:p>
    <w:p w:rsidR="00AA0375" w:rsidRDefault="007B0031">
      <w:pPr>
        <w:jc w:val="left"/>
      </w:pPr>
      <w:r>
        <w:rPr>
          <w:rFonts w:hint="eastAsia"/>
          <w:noProof/>
        </w:rPr>
        <w:lastRenderedPageBreak/>
        <w:drawing>
          <wp:inline distT="0" distB="0" distL="114300" distR="114300">
            <wp:extent cx="5267325" cy="3030220"/>
            <wp:effectExtent l="0" t="0" r="9525" b="17780"/>
            <wp:docPr id="1" name="图片 1" descr="2023部门整体评分附表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3部门整体评分附表-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03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0375" w:rsidRDefault="007B0031">
      <w:pPr>
        <w:pStyle w:val="a0"/>
        <w:ind w:firstLine="210"/>
      </w:pPr>
      <w:r>
        <w:rPr>
          <w:rFonts w:hint="eastAsia"/>
          <w:noProof/>
        </w:rPr>
        <w:lastRenderedPageBreak/>
        <w:drawing>
          <wp:inline distT="0" distB="0" distL="114300" distR="114300">
            <wp:extent cx="5267325" cy="5717540"/>
            <wp:effectExtent l="0" t="0" r="9525" b="16510"/>
            <wp:docPr id="3" name="图片 3" descr="2023部门整体评分附表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23部门整体评分附表-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571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0375" w:rsidRDefault="007B0031">
      <w:pPr>
        <w:pStyle w:val="a0"/>
        <w:ind w:firstLine="210"/>
      </w:pPr>
      <w:r>
        <w:rPr>
          <w:rFonts w:hint="eastAsia"/>
          <w:noProof/>
        </w:rPr>
        <w:lastRenderedPageBreak/>
        <w:drawing>
          <wp:inline distT="0" distB="0" distL="114300" distR="114300">
            <wp:extent cx="5267325" cy="7029450"/>
            <wp:effectExtent l="0" t="0" r="9525" b="0"/>
            <wp:docPr id="4" name="图片 4" descr="2023部门整体评分附表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23部门整体评分附表-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0375" w:rsidRDefault="00AA0375">
      <w:pPr>
        <w:spacing w:line="20" w:lineRule="exact"/>
        <w:rPr>
          <w:rFonts w:ascii="方正小标宋简体" w:eastAsia="方正小标宋简体"/>
          <w:sz w:val="36"/>
          <w:szCs w:val="36"/>
        </w:rPr>
      </w:pPr>
    </w:p>
    <w:sectPr w:rsidR="00AA0375" w:rsidSect="00E60731">
      <w:footerReference w:type="default" r:id="rId10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031" w:rsidRDefault="007B0031">
      <w:r>
        <w:separator/>
      </w:r>
    </w:p>
  </w:endnote>
  <w:endnote w:type="continuationSeparator" w:id="1">
    <w:p w:rsidR="007B0031" w:rsidRDefault="007B00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375" w:rsidRDefault="00E60731">
    <w:pPr>
      <w:pStyle w:val="a6"/>
      <w:jc w:val="right"/>
    </w:pPr>
    <w:r w:rsidRPr="00E60731">
      <w:rPr>
        <w:noProof/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0;margin-top:0;width:2in;height:2in;z-index:251659264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<v:textbox style="mso-fit-shape-to-text:t" inset="0,0,0,0">
            <w:txbxContent>
              <w:p w:rsidR="00AA0375" w:rsidRDefault="00E60731">
                <w:pPr>
                  <w:pStyle w:val="a6"/>
                </w:pPr>
                <w:r>
                  <w:fldChar w:fldCharType="begin"/>
                </w:r>
                <w:r w:rsidR="007B0031">
                  <w:instrText xml:space="preserve"> PAGE  \* MERGEFORMAT </w:instrText>
                </w:r>
                <w:r>
                  <w:fldChar w:fldCharType="separate"/>
                </w:r>
                <w:r w:rsidR="00F7462C">
                  <w:rPr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031" w:rsidRDefault="007B0031">
      <w:r>
        <w:separator/>
      </w:r>
    </w:p>
  </w:footnote>
  <w:footnote w:type="continuationSeparator" w:id="1">
    <w:p w:rsidR="007B0031" w:rsidRDefault="007B00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YWRlYzk4NGZiMTQ4NTYyZTUwNzI2ZTAwZmEzNjkyZDMifQ=="/>
  </w:docVars>
  <w:rsids>
    <w:rsidRoot w:val="F77F09F4"/>
    <w:rsid w:val="8716660E"/>
    <w:rsid w:val="A3AA735E"/>
    <w:rsid w:val="A75D4892"/>
    <w:rsid w:val="AFFFCE02"/>
    <w:rsid w:val="CEFD3F3D"/>
    <w:rsid w:val="D6B22E60"/>
    <w:rsid w:val="EA3F77F2"/>
    <w:rsid w:val="EEFE5989"/>
    <w:rsid w:val="EFCF3EAE"/>
    <w:rsid w:val="F4FDEB06"/>
    <w:rsid w:val="F5B764A2"/>
    <w:rsid w:val="F77F09F4"/>
    <w:rsid w:val="FBFF6E65"/>
    <w:rsid w:val="FEEF6AA0"/>
    <w:rsid w:val="FFB792B8"/>
    <w:rsid w:val="FFD7BFFC"/>
    <w:rsid w:val="FFFA6B0F"/>
    <w:rsid w:val="FFFFB6E6"/>
    <w:rsid w:val="000443EE"/>
    <w:rsid w:val="000564A2"/>
    <w:rsid w:val="000F79B0"/>
    <w:rsid w:val="00100189"/>
    <w:rsid w:val="001403D0"/>
    <w:rsid w:val="00146E78"/>
    <w:rsid w:val="00162047"/>
    <w:rsid w:val="0016215B"/>
    <w:rsid w:val="00194400"/>
    <w:rsid w:val="001D58F2"/>
    <w:rsid w:val="001E3708"/>
    <w:rsid w:val="00213758"/>
    <w:rsid w:val="002647FA"/>
    <w:rsid w:val="002C4E8B"/>
    <w:rsid w:val="00317564"/>
    <w:rsid w:val="00337C50"/>
    <w:rsid w:val="00344198"/>
    <w:rsid w:val="003A4AF0"/>
    <w:rsid w:val="003B3763"/>
    <w:rsid w:val="00400ED1"/>
    <w:rsid w:val="00416211"/>
    <w:rsid w:val="0042310F"/>
    <w:rsid w:val="004259E3"/>
    <w:rsid w:val="004531D8"/>
    <w:rsid w:val="004876DA"/>
    <w:rsid w:val="004B422F"/>
    <w:rsid w:val="00555F60"/>
    <w:rsid w:val="00614D4A"/>
    <w:rsid w:val="00631B42"/>
    <w:rsid w:val="006367D5"/>
    <w:rsid w:val="0070695D"/>
    <w:rsid w:val="00707284"/>
    <w:rsid w:val="00730C8D"/>
    <w:rsid w:val="00735BE6"/>
    <w:rsid w:val="00775E92"/>
    <w:rsid w:val="007B0031"/>
    <w:rsid w:val="007B2A16"/>
    <w:rsid w:val="007D5339"/>
    <w:rsid w:val="0082093A"/>
    <w:rsid w:val="00853FA1"/>
    <w:rsid w:val="00860392"/>
    <w:rsid w:val="008908A0"/>
    <w:rsid w:val="008B136D"/>
    <w:rsid w:val="008C774D"/>
    <w:rsid w:val="008E5053"/>
    <w:rsid w:val="00976E86"/>
    <w:rsid w:val="009A3D2A"/>
    <w:rsid w:val="009A6999"/>
    <w:rsid w:val="009B7288"/>
    <w:rsid w:val="009C38F1"/>
    <w:rsid w:val="009D3BC7"/>
    <w:rsid w:val="00A639C5"/>
    <w:rsid w:val="00AA0375"/>
    <w:rsid w:val="00AB03DB"/>
    <w:rsid w:val="00AB2AE7"/>
    <w:rsid w:val="00AD09CC"/>
    <w:rsid w:val="00B613B0"/>
    <w:rsid w:val="00B8468B"/>
    <w:rsid w:val="00BA3DA1"/>
    <w:rsid w:val="00BE2B03"/>
    <w:rsid w:val="00BE4188"/>
    <w:rsid w:val="00C13E25"/>
    <w:rsid w:val="00C67728"/>
    <w:rsid w:val="00CB2C87"/>
    <w:rsid w:val="00CC2C5D"/>
    <w:rsid w:val="00D55527"/>
    <w:rsid w:val="00DC534B"/>
    <w:rsid w:val="00E30237"/>
    <w:rsid w:val="00E36087"/>
    <w:rsid w:val="00E53795"/>
    <w:rsid w:val="00E60731"/>
    <w:rsid w:val="00E75273"/>
    <w:rsid w:val="00EB4795"/>
    <w:rsid w:val="00EB4875"/>
    <w:rsid w:val="00EC0D94"/>
    <w:rsid w:val="00ED10D4"/>
    <w:rsid w:val="00F4365E"/>
    <w:rsid w:val="00F54EBF"/>
    <w:rsid w:val="00F60B6B"/>
    <w:rsid w:val="00F61A81"/>
    <w:rsid w:val="00F71D40"/>
    <w:rsid w:val="00F7462C"/>
    <w:rsid w:val="00FA1EBC"/>
    <w:rsid w:val="00FD0953"/>
    <w:rsid w:val="126C6B7A"/>
    <w:rsid w:val="175F53D8"/>
    <w:rsid w:val="2687432E"/>
    <w:rsid w:val="366767DC"/>
    <w:rsid w:val="37173543"/>
    <w:rsid w:val="3D636C0F"/>
    <w:rsid w:val="3FDBA076"/>
    <w:rsid w:val="3FDFB3F0"/>
    <w:rsid w:val="3FDFC9A6"/>
    <w:rsid w:val="3FF76880"/>
    <w:rsid w:val="4476363D"/>
    <w:rsid w:val="4A0A6E85"/>
    <w:rsid w:val="4CD1294D"/>
    <w:rsid w:val="5BFD4AC2"/>
    <w:rsid w:val="63A522DD"/>
    <w:rsid w:val="67759716"/>
    <w:rsid w:val="6F7ED27B"/>
    <w:rsid w:val="73471F04"/>
    <w:rsid w:val="73F7583B"/>
    <w:rsid w:val="75AE6A8E"/>
    <w:rsid w:val="75B17A7C"/>
    <w:rsid w:val="7AB7FF50"/>
    <w:rsid w:val="7AEAF641"/>
    <w:rsid w:val="7BAD2729"/>
    <w:rsid w:val="7BFEB0DB"/>
    <w:rsid w:val="7FFF4E81"/>
    <w:rsid w:val="7FFFD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autoRedefine/>
    <w:qFormat/>
    <w:rsid w:val="00E6073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autoRedefine/>
    <w:uiPriority w:val="9"/>
    <w:qFormat/>
    <w:rsid w:val="00E60731"/>
    <w:pPr>
      <w:spacing w:line="600" w:lineRule="exact"/>
      <w:ind w:firstLine="640"/>
      <w:outlineLvl w:val="0"/>
    </w:pPr>
    <w:rPr>
      <w:rFonts w:ascii="黑体" w:eastAsia="黑体" w:hAnsi="黑体" w:cs="宋体"/>
      <w:color w:val="000000"/>
      <w:kern w:val="0"/>
    </w:rPr>
  </w:style>
  <w:style w:type="paragraph" w:styleId="2">
    <w:name w:val="heading 2"/>
    <w:basedOn w:val="a"/>
    <w:next w:val="a"/>
    <w:autoRedefine/>
    <w:qFormat/>
    <w:rsid w:val="00E60731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autoRedefine/>
    <w:qFormat/>
    <w:rsid w:val="00E60731"/>
    <w:pPr>
      <w:ind w:firstLineChars="100" w:firstLine="420"/>
    </w:pPr>
  </w:style>
  <w:style w:type="paragraph" w:styleId="a4">
    <w:name w:val="Body Text"/>
    <w:basedOn w:val="a"/>
    <w:next w:val="toc1b958cacf-7e5f-454f-8c5b-6e15b77831f9"/>
    <w:autoRedefine/>
    <w:qFormat/>
    <w:rsid w:val="00E60731"/>
    <w:pPr>
      <w:spacing w:after="140" w:line="276" w:lineRule="auto"/>
    </w:pPr>
  </w:style>
  <w:style w:type="paragraph" w:customStyle="1" w:styleId="toc1b958cacf-7e5f-454f-8c5b-6e15b77831f9">
    <w:name w:val="toc 1_b958cacf-7e5f-454f-8c5b-6e15b77831f9"/>
    <w:next w:val="a"/>
    <w:autoRedefine/>
    <w:qFormat/>
    <w:rsid w:val="00E60731"/>
    <w:pPr>
      <w:wordWrap w:val="0"/>
      <w:jc w:val="both"/>
    </w:pPr>
    <w:rPr>
      <w:sz w:val="21"/>
      <w:szCs w:val="22"/>
    </w:rPr>
  </w:style>
  <w:style w:type="paragraph" w:styleId="a5">
    <w:name w:val="Normal Indent"/>
    <w:basedOn w:val="a"/>
    <w:autoRedefine/>
    <w:qFormat/>
    <w:rsid w:val="00E60731"/>
    <w:pPr>
      <w:ind w:firstLineChars="200" w:firstLine="200"/>
    </w:pPr>
  </w:style>
  <w:style w:type="paragraph" w:styleId="a6">
    <w:name w:val="footer"/>
    <w:basedOn w:val="a"/>
    <w:autoRedefine/>
    <w:uiPriority w:val="99"/>
    <w:qFormat/>
    <w:rsid w:val="00E60731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7">
    <w:name w:val="header"/>
    <w:basedOn w:val="a"/>
    <w:autoRedefine/>
    <w:qFormat/>
    <w:rsid w:val="00E6073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1">
    <w:name w:val="目录 11"/>
    <w:next w:val="a"/>
    <w:autoRedefine/>
    <w:qFormat/>
    <w:rsid w:val="00E60731"/>
    <w:pPr>
      <w:wordWrap w:val="0"/>
      <w:jc w:val="both"/>
    </w:pPr>
    <w:rPr>
      <w:sz w:val="21"/>
      <w:szCs w:val="22"/>
    </w:rPr>
  </w:style>
  <w:style w:type="paragraph" w:customStyle="1" w:styleId="10">
    <w:name w:val="列出段落1"/>
    <w:basedOn w:val="a"/>
    <w:autoRedefine/>
    <w:uiPriority w:val="34"/>
    <w:qFormat/>
    <w:rsid w:val="00E60731"/>
    <w:pPr>
      <w:ind w:firstLineChars="200" w:firstLine="420"/>
    </w:pPr>
    <w:rPr>
      <w:rFonts w:ascii="Calibri" w:hAnsi="Calibri" w:cs="黑体"/>
      <w:szCs w:val="22"/>
    </w:rPr>
  </w:style>
  <w:style w:type="character" w:customStyle="1" w:styleId="NormalCharacter">
    <w:name w:val="NormalCharacter"/>
    <w:autoRedefine/>
    <w:semiHidden/>
    <w:qFormat/>
    <w:rsid w:val="00E60731"/>
    <w:rPr>
      <w:bCs/>
      <w:kern w:val="2"/>
      <w:sz w:val="24"/>
      <w:szCs w:val="21"/>
      <w:lang w:val="en-US" w:eastAsia="zh-CN" w:bidi="ar-SA"/>
    </w:rPr>
  </w:style>
  <w:style w:type="character" w:customStyle="1" w:styleId="font21">
    <w:name w:val="font21"/>
    <w:basedOn w:val="a1"/>
    <w:autoRedefine/>
    <w:qFormat/>
    <w:rsid w:val="00E60731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31">
    <w:name w:val="font31"/>
    <w:basedOn w:val="a1"/>
    <w:autoRedefine/>
    <w:qFormat/>
    <w:rsid w:val="00E60731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1"/>
    <w:qFormat/>
    <w:rsid w:val="00E60731"/>
    <w:rPr>
      <w:rFonts w:ascii="宋体" w:eastAsia="宋体" w:hAnsi="宋体" w:cs="宋体" w:hint="eastAsia"/>
      <w:b/>
      <w:bCs/>
      <w:color w:val="000000"/>
      <w:sz w:val="18"/>
      <w:szCs w:val="18"/>
      <w:u w:val="none"/>
    </w:rPr>
  </w:style>
  <w:style w:type="paragraph" w:styleId="a8">
    <w:name w:val="Balloon Text"/>
    <w:basedOn w:val="a"/>
    <w:link w:val="Char"/>
    <w:rsid w:val="00DC534B"/>
    <w:rPr>
      <w:sz w:val="18"/>
      <w:szCs w:val="18"/>
    </w:rPr>
  </w:style>
  <w:style w:type="character" w:customStyle="1" w:styleId="Char">
    <w:name w:val="批注框文本 Char"/>
    <w:basedOn w:val="a1"/>
    <w:link w:val="a8"/>
    <w:rsid w:val="00DC534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12</Pages>
  <Words>693</Words>
  <Characters>3951</Characters>
  <Application>Microsoft Office Word</Application>
  <DocSecurity>0</DocSecurity>
  <Lines>32</Lines>
  <Paragraphs>9</Paragraphs>
  <ScaleCrop>false</ScaleCrop>
  <Company>微软中国</Company>
  <LinksUpToDate>false</LinksUpToDate>
  <CharactersWithSpaces>4635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China</cp:lastModifiedBy>
  <cp:revision>46</cp:revision>
  <cp:lastPrinted>2023-03-06T01:31:00Z</cp:lastPrinted>
  <dcterms:created xsi:type="dcterms:W3CDTF">2022-03-14T19:16:00Z</dcterms:created>
  <dcterms:modified xsi:type="dcterms:W3CDTF">2024-05-15T07:16:00Z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CAAE4F1FBD674CA0B8E511F1E93E8B0C_12</vt:lpwstr>
  </property>
</Properties>
</file>