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4"/>
        <w:jc w:val="center"/>
        <w:rPr>
          <w:b/>
          <w:bCs/>
          <w:sz w:val="52"/>
          <w:szCs w:val="52"/>
        </w:rPr>
      </w:pPr>
      <w:bookmarkStart w:id="0" w:name="_Toc318476443"/>
    </w:p>
    <w:p>
      <w:pPr>
        <w:ind w:firstLine="1044"/>
        <w:jc w:val="center"/>
        <w:rPr>
          <w:rFonts w:eastAsia="宋体"/>
          <w:b/>
          <w:bCs/>
          <w:sz w:val="52"/>
          <w:szCs w:val="52"/>
        </w:rPr>
      </w:pPr>
      <w:r>
        <w:rPr>
          <w:rFonts w:hint="eastAsia" w:eastAsia="宋体"/>
          <w:b/>
          <w:bCs/>
          <w:sz w:val="52"/>
          <w:szCs w:val="52"/>
        </w:rPr>
        <w:t>北京市财政支出项目</w:t>
      </w:r>
    </w:p>
    <w:p>
      <w:pPr>
        <w:ind w:firstLine="1044"/>
        <w:jc w:val="center"/>
        <w:rPr>
          <w:rFonts w:eastAsia="宋体"/>
          <w:b/>
          <w:bCs/>
          <w:sz w:val="52"/>
          <w:szCs w:val="52"/>
        </w:rPr>
      </w:pPr>
      <w:r>
        <w:rPr>
          <w:rFonts w:hint="eastAsia" w:eastAsia="宋体"/>
          <w:b/>
          <w:bCs/>
          <w:sz w:val="52"/>
          <w:szCs w:val="52"/>
        </w:rPr>
        <w:t>绩效评价报告</w:t>
      </w:r>
    </w:p>
    <w:p>
      <w:pPr>
        <w:ind w:firstLine="1044"/>
        <w:jc w:val="center"/>
        <w:rPr>
          <w:b/>
          <w:bCs/>
          <w:sz w:val="52"/>
          <w:szCs w:val="24"/>
        </w:rPr>
      </w:pPr>
    </w:p>
    <w:p>
      <w:pPr>
        <w:ind w:firstLine="1044"/>
        <w:jc w:val="center"/>
        <w:rPr>
          <w:b/>
          <w:bCs/>
          <w:sz w:val="52"/>
        </w:rPr>
      </w:pPr>
    </w:p>
    <w:p>
      <w:pPr>
        <w:ind w:firstLine="600"/>
        <w:jc w:val="center"/>
        <w:rPr>
          <w:rFonts w:hint="eastAsia" w:eastAsia="黑体"/>
          <w:sz w:val="30"/>
        </w:rPr>
      </w:pPr>
    </w:p>
    <w:p>
      <w:pPr>
        <w:ind w:firstLine="600"/>
        <w:jc w:val="center"/>
        <w:rPr>
          <w:rFonts w:eastAsia="黑体"/>
          <w:sz w:val="30"/>
        </w:rPr>
      </w:pPr>
    </w:p>
    <w:p>
      <w:pPr>
        <w:ind w:firstLine="600"/>
        <w:rPr>
          <w:rFonts w:eastAsia="黑体"/>
          <w:sz w:val="30"/>
        </w:rPr>
      </w:pPr>
    </w:p>
    <w:p>
      <w:pPr>
        <w:ind w:firstLine="0" w:firstLineChars="0"/>
        <w:rPr>
          <w:rFonts w:hint="eastAsia" w:ascii="宋体" w:hAnsi="宋体" w:eastAsia="宋体" w:cs="宋体"/>
          <w:sz w:val="32"/>
          <w:szCs w:val="32"/>
          <w:u w:val="single"/>
        </w:rPr>
      </w:pPr>
      <w:r>
        <w:rPr>
          <w:rFonts w:hint="eastAsia" w:ascii="宋体" w:hAnsi="宋体" w:eastAsia="宋体" w:cs="宋体"/>
          <w:sz w:val="32"/>
          <w:szCs w:val="32"/>
        </w:rPr>
        <w:t xml:space="preserve">主管部门 </w:t>
      </w:r>
      <w:r>
        <w:rPr>
          <w:rFonts w:hint="eastAsia" w:ascii="宋体" w:hAnsi="宋体" w:eastAsia="宋体" w:cs="宋体"/>
          <w:sz w:val="32"/>
          <w:szCs w:val="32"/>
          <w:u w:val="single"/>
        </w:rPr>
        <w:t xml:space="preserve">         北京市怀柔区人民法院              </w:t>
      </w:r>
    </w:p>
    <w:p>
      <w:pPr>
        <w:ind w:firstLine="0" w:firstLineChars="0"/>
        <w:rPr>
          <w:rFonts w:hint="eastAsia" w:ascii="宋体" w:hAnsi="宋体" w:eastAsia="宋体" w:cs="宋体"/>
          <w:sz w:val="32"/>
          <w:szCs w:val="32"/>
          <w:u w:val="single"/>
        </w:rPr>
      </w:pPr>
      <w:r>
        <w:rPr>
          <w:rFonts w:hint="eastAsia" w:ascii="宋体" w:hAnsi="宋体" w:eastAsia="宋体" w:cs="宋体"/>
          <w:sz w:val="32"/>
          <w:szCs w:val="32"/>
        </w:rPr>
        <w:t xml:space="preserve">项目单位 </w:t>
      </w:r>
      <w:r>
        <w:rPr>
          <w:rFonts w:hint="eastAsia" w:ascii="宋体" w:hAnsi="宋体" w:eastAsia="宋体" w:cs="宋体"/>
          <w:sz w:val="32"/>
          <w:szCs w:val="32"/>
          <w:u w:val="single"/>
        </w:rPr>
        <w:t xml:space="preserve">         北京市怀柔区人民法院（本级）      </w:t>
      </w:r>
    </w:p>
    <w:p>
      <w:pPr>
        <w:ind w:firstLine="0" w:firstLineChars="0"/>
        <w:jc w:val="left"/>
        <w:rPr>
          <w:rFonts w:hint="eastAsia" w:ascii="宋体" w:hAnsi="宋体" w:eastAsia="宋体" w:cs="宋体"/>
          <w:sz w:val="32"/>
          <w:szCs w:val="32"/>
          <w:u w:val="single"/>
        </w:rPr>
      </w:pPr>
      <w:r>
        <w:rPr>
          <w:rFonts w:hint="eastAsia" w:ascii="宋体" w:hAnsi="宋体" w:eastAsia="宋体" w:cs="宋体"/>
          <w:sz w:val="32"/>
          <w:szCs w:val="32"/>
        </w:rPr>
        <w:t xml:space="preserve">项目名称 </w:t>
      </w:r>
      <w:r>
        <w:rPr>
          <w:rFonts w:hint="eastAsia" w:ascii="宋体" w:hAnsi="宋体" w:eastAsia="宋体" w:cs="宋体"/>
          <w:sz w:val="32"/>
          <w:szCs w:val="32"/>
          <w:u w:val="single"/>
        </w:rPr>
        <w:t xml:space="preserve">           安检工作经费                    </w:t>
      </w:r>
    </w:p>
    <w:p>
      <w:pPr>
        <w:spacing w:line="340" w:lineRule="exact"/>
        <w:ind w:firstLine="0" w:firstLineChars="0"/>
        <w:jc w:val="left"/>
        <w:rPr>
          <w:rFonts w:hint="eastAsia" w:ascii="宋体" w:hAnsi="宋体" w:eastAsia="宋体" w:cs="宋体"/>
          <w:sz w:val="32"/>
          <w:szCs w:val="32"/>
        </w:rPr>
      </w:pPr>
      <w:r>
        <w:rPr>
          <w:rFonts w:hint="eastAsia" w:ascii="宋体" w:hAnsi="宋体" w:eastAsia="宋体" w:cs="宋体"/>
          <w:sz w:val="32"/>
          <w:szCs w:val="32"/>
        </w:rPr>
        <w:pict>
          <v:shape id="_x0000_s1026" o:spid="_x0000_s1026" o:spt="202" type="#_x0000_t202" style="position:absolute;left:0pt;margin-left:62.25pt;margin-top:0.15pt;height:57pt;width:383.45pt;z-index:251661312;mso-width-relative:page;mso-height-relative:page;" filled="f" stroked="t" coordsize="21600,21600">
            <v:path/>
            <v:fill on="f" focussize="0,0"/>
            <v:stroke color="#FFFFFF" joinstyle="miter"/>
            <v:imagedata o:title=""/>
            <o:lock v:ext="edit"/>
            <v:textbox>
              <w:txbxContent>
                <w:p>
                  <w:pPr>
                    <w:ind w:firstLine="0" w:firstLineChars="0"/>
                    <w:rPr>
                      <w:rFonts w:ascii="宋体" w:hAnsi="宋体" w:eastAsia="宋体"/>
                      <w:sz w:val="32"/>
                      <w:szCs w:val="32"/>
                      <w:u w:val="single"/>
                    </w:rPr>
                  </w:pPr>
                  <w:r>
                    <w:rPr>
                      <w:rFonts w:hint="eastAsia" w:ascii="宋体" w:hAnsi="宋体"/>
                      <w:sz w:val="32"/>
                      <w:szCs w:val="32"/>
                      <w:u w:val="single"/>
                    </w:rPr>
                    <w:t xml:space="preserve">        </w:t>
                  </w:r>
                  <w:r>
                    <w:rPr>
                      <w:rFonts w:hint="eastAsia" w:ascii="宋体" w:hAnsi="宋体" w:eastAsia="宋体"/>
                      <w:sz w:val="32"/>
                      <w:szCs w:val="32"/>
                      <w:u w:val="single"/>
                    </w:rPr>
                    <w:t xml:space="preserve">北京中诚恒平会计师事务所有限公司         </w:t>
                  </w:r>
                </w:p>
              </w:txbxContent>
            </v:textbox>
          </v:shape>
        </w:pict>
      </w:r>
      <w:r>
        <w:rPr>
          <w:rFonts w:hint="eastAsia" w:ascii="宋体" w:hAnsi="宋体" w:eastAsia="宋体" w:cs="宋体"/>
          <w:sz w:val="32"/>
          <w:szCs w:val="32"/>
        </w:rPr>
        <w:t>参与评价</w:t>
      </w:r>
    </w:p>
    <w:p>
      <w:pPr>
        <w:spacing w:line="340" w:lineRule="exact"/>
        <w:ind w:firstLine="0" w:firstLineChars="0"/>
        <w:jc w:val="left"/>
        <w:rPr>
          <w:rFonts w:hint="eastAsia" w:ascii="宋体" w:hAnsi="宋体" w:eastAsia="宋体" w:cs="宋体"/>
          <w:sz w:val="32"/>
          <w:szCs w:val="32"/>
        </w:rPr>
      </w:pPr>
      <w:r>
        <w:rPr>
          <w:rFonts w:hint="eastAsia" w:ascii="宋体" w:hAnsi="宋体" w:eastAsia="宋体" w:cs="宋体"/>
          <w:sz w:val="32"/>
          <w:szCs w:val="32"/>
        </w:rPr>
        <w:t>中介机构</w:t>
      </w:r>
    </w:p>
    <w:p>
      <w:pPr>
        <w:ind w:firstLine="1500" w:firstLineChars="500"/>
        <w:rPr>
          <w:rFonts w:hint="eastAsia" w:eastAsia="黑体"/>
          <w:sz w:val="30"/>
          <w:u w:val="single"/>
        </w:rPr>
      </w:pPr>
    </w:p>
    <w:p>
      <w:pPr>
        <w:ind w:firstLine="1500" w:firstLineChars="500"/>
        <w:rPr>
          <w:rFonts w:hint="eastAsia" w:eastAsia="黑体"/>
          <w:sz w:val="30"/>
          <w:u w:val="single"/>
        </w:rPr>
      </w:pPr>
    </w:p>
    <w:p>
      <w:pPr>
        <w:ind w:firstLine="1500" w:firstLineChars="500"/>
        <w:rPr>
          <w:rFonts w:eastAsia="黑体"/>
          <w:sz w:val="30"/>
          <w:u w:val="single"/>
        </w:rPr>
      </w:pPr>
    </w:p>
    <w:p>
      <w:pPr>
        <w:ind w:firstLine="723"/>
        <w:jc w:val="center"/>
        <w:rPr>
          <w:rFonts w:hint="eastAsia" w:ascii="宋体" w:hAnsi="宋体"/>
          <w:b/>
          <w:sz w:val="36"/>
          <w:szCs w:val="36"/>
        </w:rPr>
      </w:pPr>
      <w:r>
        <w:rPr>
          <w:rFonts w:hint="eastAsia" w:ascii="宋体" w:hAnsi="宋体"/>
          <w:b/>
          <w:sz w:val="36"/>
          <w:szCs w:val="36"/>
        </w:rPr>
        <w:t xml:space="preserve"> </w:t>
      </w:r>
    </w:p>
    <w:p>
      <w:pPr>
        <w:ind w:firstLine="723"/>
        <w:jc w:val="center"/>
        <w:rPr>
          <w:rFonts w:hint="eastAsia" w:ascii="宋体" w:hAnsi="宋体"/>
          <w:b/>
          <w:sz w:val="36"/>
          <w:szCs w:val="36"/>
        </w:rPr>
      </w:pPr>
    </w:p>
    <w:p>
      <w:pPr>
        <w:ind w:firstLine="723"/>
        <w:jc w:val="center"/>
        <w:rPr>
          <w:rFonts w:hint="eastAsia" w:ascii="宋体" w:hAnsi="宋体"/>
          <w:b/>
          <w:sz w:val="36"/>
          <w:szCs w:val="36"/>
        </w:rPr>
      </w:pPr>
    </w:p>
    <w:p>
      <w:pPr>
        <w:ind w:firstLine="723"/>
        <w:jc w:val="center"/>
        <w:rPr>
          <w:rFonts w:hint="eastAsia" w:ascii="黑体" w:eastAsia="黑体"/>
          <w:sz w:val="36"/>
          <w:szCs w:val="36"/>
        </w:rPr>
      </w:pPr>
      <w:r>
        <w:rPr>
          <w:rFonts w:hint="eastAsia" w:ascii="宋体" w:hAnsi="宋体"/>
          <w:b/>
          <w:sz w:val="36"/>
          <w:szCs w:val="36"/>
        </w:rPr>
        <w:t xml:space="preserve"> </w:t>
      </w:r>
      <w:r>
        <w:rPr>
          <w:rFonts w:hint="eastAsia" w:ascii="黑体" w:eastAsia="黑体"/>
          <w:sz w:val="36"/>
          <w:szCs w:val="36"/>
        </w:rPr>
        <w:t>北京市财政局</w:t>
      </w:r>
    </w:p>
    <w:p>
      <w:pPr>
        <w:ind w:firstLine="720"/>
        <w:jc w:val="center"/>
        <w:rPr>
          <w:rFonts w:hint="eastAsia" w:ascii="黑体" w:hAnsi="黑体" w:eastAsia="黑体" w:cs="黑体"/>
          <w:sz w:val="36"/>
          <w:szCs w:val="36"/>
        </w:rPr>
      </w:pPr>
      <w:r>
        <w:rPr>
          <w:rFonts w:hint="eastAsia" w:ascii="黑体" w:hAnsi="黑体" w:eastAsia="黑体" w:cs="黑体"/>
          <w:sz w:val="36"/>
          <w:szCs w:val="36"/>
        </w:rPr>
        <w:t xml:space="preserve"> 二○二四年五月</w:t>
      </w:r>
    </w:p>
    <w:p>
      <w:pPr>
        <w:ind w:firstLine="720"/>
        <w:jc w:val="center"/>
        <w:rPr>
          <w:rFonts w:hint="eastAsia" w:ascii="黑体" w:hAnsi="黑体" w:eastAsia="黑体" w:cs="黑体"/>
          <w:sz w:val="36"/>
          <w:szCs w:val="36"/>
        </w:rPr>
      </w:pPr>
    </w:p>
    <w:p>
      <w:pPr>
        <w:spacing w:line="720" w:lineRule="auto"/>
        <w:ind w:firstLine="0" w:firstLineChars="0"/>
        <w:rPr>
          <w:rFonts w:hint="eastAsia" w:ascii="仿宋_GB2312" w:hAnsi="仿宋_GB2312" w:cs="仿宋_GB2312"/>
          <w:b/>
          <w:bCs/>
          <w:sz w:val="44"/>
          <w:szCs w:val="44"/>
          <w:lang w:val="zh-CN"/>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520" w:header="851" w:footer="992" w:gutter="0"/>
          <w:cols w:space="720" w:num="1"/>
          <w:docGrid w:type="lines" w:linePitch="312" w:charSpace="0"/>
        </w:sectPr>
      </w:pPr>
    </w:p>
    <w:p>
      <w:pPr>
        <w:spacing w:line="720" w:lineRule="auto"/>
        <w:ind w:firstLine="0" w:firstLineChars="0"/>
        <w:rPr>
          <w:rFonts w:hint="eastAsia" w:ascii="仿宋_GB2312" w:hAnsi="仿宋_GB2312" w:cs="仿宋_GB2312"/>
          <w:b/>
          <w:bCs/>
          <w:sz w:val="44"/>
          <w:szCs w:val="44"/>
          <w:lang w:val="zh-CN"/>
        </w:rPr>
      </w:pPr>
    </w:p>
    <w:p>
      <w:pPr>
        <w:spacing w:line="720" w:lineRule="auto"/>
        <w:ind w:firstLine="0" w:firstLineChars="0"/>
        <w:jc w:val="center"/>
        <w:rPr>
          <w:rFonts w:hint="eastAsia" w:ascii="仿宋_GB2312" w:hAnsi="仿宋_GB2312" w:cs="仿宋_GB2312"/>
          <w:b/>
          <w:bCs/>
          <w:sz w:val="44"/>
          <w:szCs w:val="44"/>
          <w:lang w:val="zh-CN"/>
        </w:rPr>
      </w:pPr>
      <w:r>
        <w:rPr>
          <w:rFonts w:hint="eastAsia" w:ascii="仿宋_GB2312" w:hAnsi="仿宋_GB2312" w:cs="仿宋_GB2312"/>
          <w:b/>
          <w:bCs/>
          <w:sz w:val="44"/>
          <w:szCs w:val="44"/>
          <w:lang w:val="zh-CN"/>
        </w:rPr>
        <w:t>照片</w:t>
      </w:r>
    </w:p>
    <w:p>
      <w:pPr>
        <w:pStyle w:val="25"/>
        <w:spacing w:line="360" w:lineRule="auto"/>
        <w:ind w:left="560"/>
        <w:jc w:val="both"/>
        <w:rPr>
          <w:rFonts w:ascii="宋体" w:hAnsi="宋体"/>
          <w:color w:val="auto"/>
          <w:sz w:val="28"/>
          <w:szCs w:val="28"/>
          <w:lang w:val="zh-CN"/>
        </w:rPr>
        <w:sectPr>
          <w:footerReference r:id="rId11" w:type="default"/>
          <w:pgSz w:w="11906" w:h="16838"/>
          <w:pgMar w:top="1440" w:right="1800" w:bottom="1440" w:left="1520" w:header="851" w:footer="992" w:gutter="0"/>
          <w:pgNumType w:start="1"/>
          <w:cols w:space="720" w:num="1"/>
          <w:docGrid w:type="lines" w:linePitch="312" w:charSpace="0"/>
        </w:sectPr>
      </w:pPr>
      <w:r>
        <w:rPr>
          <w:rFonts w:ascii="宋体" w:hAnsi="宋体"/>
          <w:color w:val="auto"/>
          <w:sz w:val="28"/>
          <w:szCs w:val="28"/>
          <w:lang w:val="zh-CN"/>
        </w:rPr>
        <w:pict>
          <v:shape id="_x0000_i1025" o:spt="75" alt="db2488eccf42a15b7cf4fb8145d9e52" type="#_x0000_t75" style="height:532.5pt;width:399pt;" filled="f" o:preferrelative="t" stroked="f" coordsize="21600,21600">
            <v:path/>
            <v:fill on="f" focussize="0,0"/>
            <v:stroke on="f" joinstyle="miter"/>
            <v:imagedata r:id="rId14" o:title="db2488eccf42a15b7cf4fb8145d9e52"/>
            <o:lock v:ext="edit" aspectratio="t"/>
            <w10:wrap type="none"/>
            <w10:anchorlock/>
          </v:shape>
        </w:pict>
      </w:r>
    </w:p>
    <w:p>
      <w:pPr>
        <w:pStyle w:val="25"/>
        <w:spacing w:line="360" w:lineRule="auto"/>
        <w:ind w:left="560" w:firstLine="560"/>
        <w:jc w:val="center"/>
        <w:outlineLvl w:val="2"/>
        <w:rPr>
          <w:rFonts w:ascii="宋体" w:hAnsi="宋体"/>
          <w:color w:val="auto"/>
          <w:sz w:val="28"/>
          <w:szCs w:val="28"/>
        </w:rPr>
      </w:pPr>
      <w:bookmarkStart w:id="1" w:name="_Toc29952"/>
      <w:r>
        <w:rPr>
          <w:rFonts w:ascii="宋体" w:hAnsi="宋体"/>
          <w:color w:val="auto"/>
          <w:sz w:val="28"/>
          <w:szCs w:val="28"/>
          <w:lang w:val="zh-CN"/>
        </w:rPr>
        <w:t>目</w:t>
      </w:r>
      <w:r>
        <w:rPr>
          <w:rFonts w:hint="eastAsia" w:ascii="宋体" w:hAnsi="宋体"/>
          <w:color w:val="auto"/>
          <w:sz w:val="28"/>
          <w:szCs w:val="28"/>
          <w:lang w:val="zh-CN"/>
        </w:rPr>
        <w:t xml:space="preserve"> </w:t>
      </w:r>
      <w:r>
        <w:rPr>
          <w:rFonts w:ascii="宋体" w:hAnsi="宋体"/>
          <w:color w:val="auto"/>
          <w:sz w:val="28"/>
          <w:szCs w:val="28"/>
          <w:lang w:val="zh-CN"/>
        </w:rPr>
        <w:t>录</w:t>
      </w:r>
      <w:bookmarkEnd w:id="1"/>
    </w:p>
    <w:p>
      <w:pPr>
        <w:pStyle w:val="6"/>
        <w:tabs>
          <w:tab w:val="right" w:leader="dot" w:pos="8306"/>
        </w:tabs>
        <w:ind w:left="0" w:leftChars="0" w:firstLine="560" w:firstLineChars="200"/>
      </w:pPr>
      <w:r>
        <w:rPr>
          <w:rFonts w:ascii="宋体" w:hAnsi="宋体" w:eastAsia="宋体"/>
          <w:szCs w:val="28"/>
        </w:rPr>
        <w:fldChar w:fldCharType="begin"/>
      </w:r>
      <w:r>
        <w:rPr>
          <w:rFonts w:ascii="宋体" w:hAnsi="宋体" w:eastAsia="宋体"/>
          <w:szCs w:val="28"/>
        </w:rPr>
        <w:instrText xml:space="preserve"> TOC \o "1-3" \h \z \u </w:instrText>
      </w:r>
      <w:r>
        <w:rPr>
          <w:rFonts w:ascii="宋体" w:hAnsi="宋体" w:eastAsia="宋体"/>
          <w:szCs w:val="28"/>
        </w:rPr>
        <w:fldChar w:fldCharType="separate"/>
      </w:r>
      <w:r>
        <w:rPr>
          <w:rFonts w:ascii="宋体" w:hAnsi="宋体" w:eastAsia="宋体"/>
          <w:szCs w:val="28"/>
        </w:rPr>
        <w:fldChar w:fldCharType="begin"/>
      </w:r>
      <w:r>
        <w:rPr>
          <w:rFonts w:ascii="宋体" w:hAnsi="宋体" w:eastAsia="宋体"/>
          <w:szCs w:val="28"/>
        </w:rPr>
        <w:instrText xml:space="preserve"> HYPERLINK \l _Toc29952 </w:instrText>
      </w:r>
      <w:r>
        <w:rPr>
          <w:rFonts w:ascii="宋体" w:hAnsi="宋体" w:eastAsia="宋体"/>
          <w:szCs w:val="28"/>
        </w:rPr>
        <w:fldChar w:fldCharType="separate"/>
      </w:r>
      <w:r>
        <w:rPr>
          <w:rFonts w:hint="eastAsia" w:ascii="宋体" w:hAnsi="宋体" w:eastAsia="宋体"/>
          <w:szCs w:val="28"/>
          <w:lang w:val="en-US" w:eastAsia="zh-CN"/>
        </w:rPr>
        <w:t>反应项目绩效相关图片</w:t>
      </w:r>
      <w:r>
        <w:tab/>
      </w:r>
      <w:r>
        <w:fldChar w:fldCharType="begin"/>
      </w:r>
      <w:r>
        <w:instrText xml:space="preserve"> PAGEREF _Toc29952 \h </w:instrText>
      </w:r>
      <w:r>
        <w:fldChar w:fldCharType="separate"/>
      </w:r>
      <w:r>
        <w:t>1</w:t>
      </w:r>
      <w:r>
        <w:fldChar w:fldCharType="end"/>
      </w:r>
      <w:r>
        <w:rPr>
          <w:rFonts w:ascii="宋体" w:hAnsi="宋体" w:eastAsia="宋体"/>
          <w:szCs w:val="28"/>
        </w:rPr>
        <w:fldChar w:fldCharType="end"/>
      </w:r>
    </w:p>
    <w:p>
      <w:pPr>
        <w:pStyle w:val="10"/>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_Toc11751 </w:instrText>
      </w:r>
      <w:r>
        <w:rPr>
          <w:rFonts w:ascii="宋体" w:hAnsi="宋体" w:eastAsia="宋体"/>
          <w:bCs/>
          <w:szCs w:val="28"/>
          <w:lang w:val="zh-CN"/>
        </w:rPr>
        <w:fldChar w:fldCharType="separate"/>
      </w:r>
      <w:r>
        <w:rPr>
          <w:rFonts w:hint="eastAsia"/>
        </w:rPr>
        <w:t>一、项目概述</w:t>
      </w:r>
      <w:r>
        <w:tab/>
      </w:r>
      <w:r>
        <w:fldChar w:fldCharType="begin"/>
      </w:r>
      <w:r>
        <w:instrText xml:space="preserve"> PAGEREF _Toc11751 \h </w:instrText>
      </w:r>
      <w:r>
        <w:fldChar w:fldCharType="separate"/>
      </w:r>
      <w:r>
        <w:t>2</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_Toc31736 </w:instrText>
      </w:r>
      <w:r>
        <w:rPr>
          <w:rFonts w:ascii="宋体" w:hAnsi="宋体" w:eastAsia="宋体"/>
          <w:bCs/>
          <w:szCs w:val="28"/>
          <w:lang w:val="zh-CN"/>
        </w:rPr>
        <w:fldChar w:fldCharType="separate"/>
      </w:r>
      <w:r>
        <w:rPr>
          <w:rFonts w:hint="eastAsia"/>
        </w:rPr>
        <w:t>（一）项目概况</w:t>
      </w:r>
      <w:r>
        <w:tab/>
      </w:r>
      <w:r>
        <w:fldChar w:fldCharType="begin"/>
      </w:r>
      <w:r>
        <w:instrText xml:space="preserve"> PAGEREF _Toc31736 \h </w:instrText>
      </w:r>
      <w:r>
        <w:fldChar w:fldCharType="separate"/>
      </w:r>
      <w:r>
        <w:t>2</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_Toc23588 </w:instrText>
      </w:r>
      <w:r>
        <w:rPr>
          <w:rFonts w:ascii="宋体" w:hAnsi="宋体" w:eastAsia="宋体"/>
          <w:bCs/>
          <w:szCs w:val="28"/>
          <w:lang w:val="zh-CN"/>
        </w:rPr>
        <w:fldChar w:fldCharType="separate"/>
      </w:r>
      <w:r>
        <w:rPr>
          <w:rFonts w:hint="eastAsia"/>
        </w:rPr>
        <w:t>（二）项目资金情况</w:t>
      </w:r>
      <w:r>
        <w:tab/>
      </w:r>
      <w:r>
        <w:fldChar w:fldCharType="begin"/>
      </w:r>
      <w:r>
        <w:instrText xml:space="preserve"> PAGEREF _Toc23588 \h </w:instrText>
      </w:r>
      <w:r>
        <w:fldChar w:fldCharType="separate"/>
      </w:r>
      <w:r>
        <w:t>3</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_Toc32369 </w:instrText>
      </w:r>
      <w:r>
        <w:rPr>
          <w:rFonts w:ascii="宋体" w:hAnsi="宋体" w:eastAsia="宋体"/>
          <w:bCs/>
          <w:szCs w:val="28"/>
          <w:lang w:val="zh-CN"/>
        </w:rPr>
        <w:fldChar w:fldCharType="separate"/>
      </w:r>
      <w:r>
        <w:rPr>
          <w:rFonts w:hint="eastAsia"/>
        </w:rPr>
        <w:t>（三）绩效目标</w:t>
      </w:r>
      <w:r>
        <w:tab/>
      </w:r>
      <w:r>
        <w:fldChar w:fldCharType="begin"/>
      </w:r>
      <w:r>
        <w:instrText xml:space="preserve"> PAGEREF _Toc32369 \h </w:instrText>
      </w:r>
      <w:r>
        <w:fldChar w:fldCharType="separate"/>
      </w:r>
      <w:r>
        <w:t>4</w:t>
      </w:r>
      <w:r>
        <w:fldChar w:fldCharType="end"/>
      </w:r>
      <w:r>
        <w:rPr>
          <w:rFonts w:ascii="宋体" w:hAnsi="宋体" w:eastAsia="宋体"/>
          <w:bCs/>
          <w:szCs w:val="28"/>
          <w:lang w:val="zh-CN"/>
        </w:rPr>
        <w:fldChar w:fldCharType="end"/>
      </w:r>
    </w:p>
    <w:p>
      <w:pPr>
        <w:pStyle w:val="10"/>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_Toc10569 </w:instrText>
      </w:r>
      <w:r>
        <w:rPr>
          <w:rFonts w:ascii="宋体" w:hAnsi="宋体" w:eastAsia="宋体"/>
          <w:bCs/>
          <w:szCs w:val="28"/>
          <w:lang w:val="zh-CN"/>
        </w:rPr>
        <w:fldChar w:fldCharType="separate"/>
      </w:r>
      <w:r>
        <w:rPr>
          <w:rFonts w:hint="eastAsia"/>
        </w:rPr>
        <w:t>二、评价工作简述</w:t>
      </w:r>
      <w:r>
        <w:tab/>
      </w:r>
      <w:r>
        <w:fldChar w:fldCharType="begin"/>
      </w:r>
      <w:r>
        <w:instrText xml:space="preserve"> PAGEREF _Toc10569 \h </w:instrText>
      </w:r>
      <w:r>
        <w:fldChar w:fldCharType="separate"/>
      </w:r>
      <w:r>
        <w:t>4</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_Toc9465 </w:instrText>
      </w:r>
      <w:r>
        <w:rPr>
          <w:rFonts w:ascii="宋体" w:hAnsi="宋体" w:eastAsia="宋体"/>
          <w:bCs/>
          <w:szCs w:val="28"/>
          <w:lang w:val="zh-CN"/>
        </w:rPr>
        <w:fldChar w:fldCharType="separate"/>
      </w:r>
      <w:r>
        <w:rPr>
          <w:rFonts w:hint="eastAsia"/>
        </w:rPr>
        <w:t>（一）基本情况</w:t>
      </w:r>
      <w:r>
        <w:tab/>
      </w:r>
      <w:r>
        <w:fldChar w:fldCharType="begin"/>
      </w:r>
      <w:r>
        <w:instrText xml:space="preserve"> PAGEREF _Toc9465 \h </w:instrText>
      </w:r>
      <w:r>
        <w:fldChar w:fldCharType="separate"/>
      </w:r>
      <w:r>
        <w:t>4</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_Toc26865 </w:instrText>
      </w:r>
      <w:r>
        <w:rPr>
          <w:rFonts w:ascii="宋体" w:hAnsi="宋体" w:eastAsia="宋体"/>
          <w:bCs/>
          <w:szCs w:val="28"/>
          <w:lang w:val="zh-CN"/>
        </w:rPr>
        <w:fldChar w:fldCharType="separate"/>
      </w:r>
      <w:r>
        <w:rPr>
          <w:rFonts w:hint="eastAsia"/>
        </w:rPr>
        <w:t>（二）评价组织实施</w:t>
      </w:r>
      <w:r>
        <w:tab/>
      </w:r>
      <w:r>
        <w:fldChar w:fldCharType="begin"/>
      </w:r>
      <w:r>
        <w:instrText xml:space="preserve"> PAGEREF _Toc26865 \h </w:instrText>
      </w:r>
      <w:r>
        <w:fldChar w:fldCharType="separate"/>
      </w:r>
      <w:r>
        <w:t>6</w:t>
      </w:r>
      <w:r>
        <w:fldChar w:fldCharType="end"/>
      </w:r>
      <w:r>
        <w:rPr>
          <w:rFonts w:ascii="宋体" w:hAnsi="宋体" w:eastAsia="宋体"/>
          <w:bCs/>
          <w:szCs w:val="28"/>
          <w:lang w:val="zh-CN"/>
        </w:rPr>
        <w:fldChar w:fldCharType="end"/>
      </w:r>
    </w:p>
    <w:p>
      <w:pPr>
        <w:pStyle w:val="10"/>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_Toc4829 </w:instrText>
      </w:r>
      <w:r>
        <w:rPr>
          <w:rFonts w:ascii="宋体" w:hAnsi="宋体" w:eastAsia="宋体"/>
          <w:bCs/>
          <w:szCs w:val="28"/>
          <w:lang w:val="zh-CN"/>
        </w:rPr>
        <w:fldChar w:fldCharType="separate"/>
      </w:r>
      <w:r>
        <w:rPr>
          <w:rFonts w:hint="eastAsia"/>
        </w:rPr>
        <w:t>三、绩效评价分析</w:t>
      </w:r>
      <w:r>
        <w:tab/>
      </w:r>
      <w:r>
        <w:fldChar w:fldCharType="begin"/>
      </w:r>
      <w:r>
        <w:instrText xml:space="preserve"> PAGEREF _Toc4829 \h </w:instrText>
      </w:r>
      <w:r>
        <w:fldChar w:fldCharType="separate"/>
      </w:r>
      <w:r>
        <w:t>9</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_Toc22538 </w:instrText>
      </w:r>
      <w:r>
        <w:rPr>
          <w:rFonts w:ascii="宋体" w:hAnsi="宋体" w:eastAsia="宋体"/>
          <w:bCs/>
          <w:szCs w:val="28"/>
          <w:lang w:val="zh-CN"/>
        </w:rPr>
        <w:fldChar w:fldCharType="separate"/>
      </w:r>
      <w:r>
        <w:rPr>
          <w:rFonts w:hint="eastAsia"/>
        </w:rPr>
        <w:t>（一）项目绩效目标评价分析</w:t>
      </w:r>
      <w:r>
        <w:tab/>
      </w:r>
      <w:r>
        <w:fldChar w:fldCharType="begin"/>
      </w:r>
      <w:r>
        <w:instrText xml:space="preserve"> PAGEREF _Toc22538 \h </w:instrText>
      </w:r>
      <w:r>
        <w:fldChar w:fldCharType="separate"/>
      </w:r>
      <w:r>
        <w:t>9</w:t>
      </w:r>
      <w:r>
        <w:fldChar w:fldCharType="end"/>
      </w:r>
      <w:r>
        <w:rPr>
          <w:rFonts w:ascii="宋体" w:hAnsi="宋体" w:eastAsia="宋体"/>
          <w:bCs/>
          <w:szCs w:val="28"/>
          <w:lang w:val="zh-CN"/>
        </w:rPr>
        <w:fldChar w:fldCharType="end"/>
      </w:r>
    </w:p>
    <w:p>
      <w:pPr>
        <w:pStyle w:val="12"/>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_Toc15764 </w:instrText>
      </w:r>
      <w:r>
        <w:rPr>
          <w:rFonts w:ascii="宋体" w:hAnsi="宋体" w:eastAsia="宋体"/>
          <w:bCs/>
          <w:szCs w:val="28"/>
          <w:lang w:val="zh-CN"/>
        </w:rPr>
        <w:fldChar w:fldCharType="separate"/>
      </w:r>
      <w:r>
        <w:rPr>
          <w:rFonts w:hint="eastAsia"/>
        </w:rPr>
        <w:t>（二）项目绩效控制评价分析</w:t>
      </w:r>
      <w:r>
        <w:tab/>
      </w:r>
      <w:r>
        <w:fldChar w:fldCharType="begin"/>
      </w:r>
      <w:r>
        <w:instrText xml:space="preserve"> PAGEREF _Toc15764 \h </w:instrText>
      </w:r>
      <w:r>
        <w:fldChar w:fldCharType="separate"/>
      </w:r>
      <w:r>
        <w:t>9</w:t>
      </w:r>
      <w:r>
        <w:fldChar w:fldCharType="end"/>
      </w:r>
      <w:r>
        <w:rPr>
          <w:rFonts w:ascii="宋体" w:hAnsi="宋体" w:eastAsia="宋体"/>
          <w:bCs/>
          <w:szCs w:val="28"/>
          <w:lang w:val="zh-CN"/>
        </w:rPr>
        <w:fldChar w:fldCharType="end"/>
      </w:r>
    </w:p>
    <w:p>
      <w:pPr>
        <w:pStyle w:val="10"/>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_Toc13748 </w:instrText>
      </w:r>
      <w:r>
        <w:rPr>
          <w:rFonts w:ascii="宋体" w:hAnsi="宋体" w:eastAsia="宋体"/>
          <w:bCs/>
          <w:szCs w:val="28"/>
          <w:lang w:val="zh-CN"/>
        </w:rPr>
        <w:fldChar w:fldCharType="separate"/>
      </w:r>
      <w:r>
        <w:rPr>
          <w:rFonts w:hint="eastAsia"/>
        </w:rPr>
        <w:t>四、评价结论</w:t>
      </w:r>
      <w:r>
        <w:tab/>
      </w:r>
      <w:r>
        <w:fldChar w:fldCharType="begin"/>
      </w:r>
      <w:r>
        <w:instrText xml:space="preserve"> PAGEREF _Toc13748 \h </w:instrText>
      </w:r>
      <w:r>
        <w:fldChar w:fldCharType="separate"/>
      </w:r>
      <w:r>
        <w:t>12</w:t>
      </w:r>
      <w:r>
        <w:fldChar w:fldCharType="end"/>
      </w:r>
      <w:r>
        <w:rPr>
          <w:rFonts w:ascii="宋体" w:hAnsi="宋体" w:eastAsia="宋体"/>
          <w:bCs/>
          <w:szCs w:val="28"/>
          <w:lang w:val="zh-CN"/>
        </w:rPr>
        <w:fldChar w:fldCharType="end"/>
      </w:r>
    </w:p>
    <w:p>
      <w:pPr>
        <w:pStyle w:val="10"/>
        <w:tabs>
          <w:tab w:val="right" w:leader="dot" w:pos="8306"/>
        </w:tabs>
        <w:rPr>
          <w:b w:val="0"/>
          <w:bCs w:val="0"/>
        </w:rPr>
      </w:pPr>
      <w:r>
        <w:rPr>
          <w:rFonts w:ascii="宋体" w:hAnsi="宋体" w:eastAsia="宋体"/>
          <w:b w:val="0"/>
          <w:bCs w:val="0"/>
          <w:szCs w:val="28"/>
          <w:lang w:val="zh-CN"/>
        </w:rPr>
        <w:fldChar w:fldCharType="begin"/>
      </w:r>
      <w:r>
        <w:rPr>
          <w:rFonts w:ascii="宋体" w:hAnsi="宋体" w:eastAsia="宋体"/>
          <w:b w:val="0"/>
          <w:bCs w:val="0"/>
          <w:szCs w:val="28"/>
          <w:lang w:val="zh-CN"/>
        </w:rPr>
        <w:instrText xml:space="preserve"> HYPERLINK \l _Toc15184 </w:instrText>
      </w:r>
      <w:r>
        <w:rPr>
          <w:rFonts w:ascii="宋体" w:hAnsi="宋体" w:eastAsia="宋体"/>
          <w:b w:val="0"/>
          <w:bCs w:val="0"/>
          <w:szCs w:val="28"/>
          <w:lang w:val="zh-CN"/>
        </w:rPr>
        <w:fldChar w:fldCharType="separate"/>
      </w:r>
      <w:r>
        <w:rPr>
          <w:rFonts w:hint="eastAsia"/>
        </w:rPr>
        <w:t>五、</w:t>
      </w:r>
      <w:r>
        <w:rPr>
          <w:rFonts w:ascii="黑体" w:hAnsi="黑体" w:eastAsia="黑体"/>
          <w:b w:val="0"/>
          <w:bCs w:val="0"/>
        </w:rPr>
        <w:t xml:space="preserve"> </w:t>
      </w:r>
      <w:r>
        <w:rPr>
          <w:rFonts w:hint="eastAsia"/>
          <w:b w:val="0"/>
          <w:bCs w:val="0"/>
        </w:rPr>
        <w:t>问题</w:t>
      </w:r>
      <w:r>
        <w:rPr>
          <w:b w:val="0"/>
          <w:bCs w:val="0"/>
        </w:rPr>
        <w:tab/>
      </w:r>
      <w:r>
        <w:rPr>
          <w:b w:val="0"/>
          <w:bCs w:val="0"/>
        </w:rPr>
        <w:fldChar w:fldCharType="begin"/>
      </w:r>
      <w:r>
        <w:rPr>
          <w:b w:val="0"/>
          <w:bCs w:val="0"/>
        </w:rPr>
        <w:instrText xml:space="preserve"> PAGEREF _Toc15184 \h </w:instrText>
      </w:r>
      <w:r>
        <w:rPr>
          <w:b w:val="0"/>
          <w:bCs w:val="0"/>
        </w:rPr>
        <w:fldChar w:fldCharType="separate"/>
      </w:r>
      <w:r>
        <w:rPr>
          <w:b w:val="0"/>
          <w:bCs w:val="0"/>
        </w:rPr>
        <w:t>12</w:t>
      </w:r>
      <w:r>
        <w:rPr>
          <w:b w:val="0"/>
          <w:bCs w:val="0"/>
        </w:rPr>
        <w:fldChar w:fldCharType="end"/>
      </w:r>
      <w:r>
        <w:rPr>
          <w:rFonts w:ascii="宋体" w:hAnsi="宋体" w:eastAsia="宋体"/>
          <w:b w:val="0"/>
          <w:bCs w:val="0"/>
          <w:szCs w:val="28"/>
          <w:lang w:val="zh-CN"/>
        </w:rPr>
        <w:fldChar w:fldCharType="end"/>
      </w:r>
    </w:p>
    <w:p>
      <w:pPr>
        <w:pStyle w:val="10"/>
        <w:tabs>
          <w:tab w:val="right" w:leader="dot" w:pos="8306"/>
        </w:tabs>
        <w:rPr>
          <w:b w:val="0"/>
          <w:bCs w:val="0"/>
        </w:rPr>
      </w:pPr>
      <w:r>
        <w:rPr>
          <w:rFonts w:ascii="宋体" w:hAnsi="宋体" w:eastAsia="宋体"/>
          <w:b w:val="0"/>
          <w:bCs w:val="0"/>
          <w:szCs w:val="28"/>
          <w:lang w:val="zh-CN"/>
        </w:rPr>
        <w:fldChar w:fldCharType="begin"/>
      </w:r>
      <w:r>
        <w:rPr>
          <w:rFonts w:ascii="宋体" w:hAnsi="宋体" w:eastAsia="宋体"/>
          <w:b w:val="0"/>
          <w:bCs w:val="0"/>
          <w:szCs w:val="28"/>
          <w:lang w:val="zh-CN"/>
        </w:rPr>
        <w:instrText xml:space="preserve"> HYPERLINK \l _Toc26618 </w:instrText>
      </w:r>
      <w:r>
        <w:rPr>
          <w:rFonts w:ascii="宋体" w:hAnsi="宋体" w:eastAsia="宋体"/>
          <w:b w:val="0"/>
          <w:bCs w:val="0"/>
          <w:szCs w:val="28"/>
          <w:lang w:val="zh-CN"/>
        </w:rPr>
        <w:fldChar w:fldCharType="separate"/>
      </w:r>
      <w:r>
        <w:rPr>
          <w:rFonts w:hint="eastAsia"/>
        </w:rPr>
        <w:t xml:space="preserve">六、 </w:t>
      </w:r>
      <w:r>
        <w:rPr>
          <w:rFonts w:hint="eastAsia"/>
          <w:b w:val="0"/>
          <w:bCs w:val="0"/>
        </w:rPr>
        <w:t>建议</w:t>
      </w:r>
      <w:r>
        <w:rPr>
          <w:b w:val="0"/>
          <w:bCs w:val="0"/>
        </w:rPr>
        <w:tab/>
      </w:r>
      <w:r>
        <w:rPr>
          <w:b w:val="0"/>
          <w:bCs w:val="0"/>
        </w:rPr>
        <w:fldChar w:fldCharType="begin"/>
      </w:r>
      <w:r>
        <w:rPr>
          <w:b w:val="0"/>
          <w:bCs w:val="0"/>
        </w:rPr>
        <w:instrText xml:space="preserve"> PAGEREF _Toc26618 \h </w:instrText>
      </w:r>
      <w:r>
        <w:rPr>
          <w:b w:val="0"/>
          <w:bCs w:val="0"/>
        </w:rPr>
        <w:fldChar w:fldCharType="separate"/>
      </w:r>
      <w:r>
        <w:rPr>
          <w:b w:val="0"/>
          <w:bCs w:val="0"/>
        </w:rPr>
        <w:t>13</w:t>
      </w:r>
      <w:r>
        <w:rPr>
          <w:b w:val="0"/>
          <w:bCs w:val="0"/>
        </w:rPr>
        <w:fldChar w:fldCharType="end"/>
      </w:r>
      <w:r>
        <w:rPr>
          <w:rFonts w:ascii="宋体" w:hAnsi="宋体" w:eastAsia="宋体"/>
          <w:b w:val="0"/>
          <w:bCs w:val="0"/>
          <w:szCs w:val="28"/>
          <w:lang w:val="zh-CN"/>
        </w:rPr>
        <w:fldChar w:fldCharType="end"/>
      </w:r>
    </w:p>
    <w:p>
      <w:pPr>
        <w:pStyle w:val="10"/>
        <w:tabs>
          <w:tab w:val="right" w:leader="dot" w:pos="8306"/>
        </w:tabs>
      </w:pPr>
      <w:r>
        <w:rPr>
          <w:rFonts w:ascii="宋体" w:hAnsi="宋体" w:eastAsia="宋体"/>
          <w:bCs/>
          <w:szCs w:val="28"/>
          <w:lang w:val="zh-CN"/>
        </w:rPr>
        <w:fldChar w:fldCharType="begin"/>
      </w:r>
      <w:r>
        <w:rPr>
          <w:rFonts w:ascii="宋体" w:hAnsi="宋体" w:eastAsia="宋体"/>
          <w:bCs/>
          <w:szCs w:val="28"/>
          <w:lang w:val="zh-CN"/>
        </w:rPr>
        <w:instrText xml:space="preserve"> HYPERLINK \l _Toc21295 </w:instrText>
      </w:r>
      <w:r>
        <w:rPr>
          <w:rFonts w:ascii="宋体" w:hAnsi="宋体" w:eastAsia="宋体"/>
          <w:bCs/>
          <w:szCs w:val="28"/>
          <w:lang w:val="zh-CN"/>
        </w:rPr>
        <w:fldChar w:fldCharType="separate"/>
      </w:r>
      <w:r>
        <w:rPr>
          <w:rFonts w:hint="eastAsia"/>
        </w:rPr>
        <w:t>七、附件</w:t>
      </w:r>
      <w:r>
        <w:tab/>
      </w:r>
      <w:r>
        <w:fldChar w:fldCharType="begin"/>
      </w:r>
      <w:r>
        <w:instrText xml:space="preserve"> PAGEREF _Toc21295 \h </w:instrText>
      </w:r>
      <w:r>
        <w:fldChar w:fldCharType="separate"/>
      </w:r>
      <w:r>
        <w:t>13</w:t>
      </w:r>
      <w:r>
        <w:fldChar w:fldCharType="end"/>
      </w:r>
      <w:r>
        <w:rPr>
          <w:rFonts w:ascii="宋体" w:hAnsi="宋体" w:eastAsia="宋体"/>
          <w:bCs/>
          <w:szCs w:val="28"/>
          <w:lang w:val="zh-CN"/>
        </w:rPr>
        <w:fldChar w:fldCharType="end"/>
      </w:r>
    </w:p>
    <w:p>
      <w:pPr>
        <w:ind w:firstLine="0" w:firstLineChars="0"/>
        <w:jc w:val="center"/>
        <w:outlineLvl w:val="2"/>
        <w:rPr>
          <w:rFonts w:ascii="宋体" w:hAnsi="宋体" w:eastAsia="宋体"/>
          <w:b/>
          <w:bCs/>
          <w:szCs w:val="28"/>
          <w:lang w:val="zh-CN"/>
        </w:rPr>
      </w:pPr>
      <w:r>
        <w:rPr>
          <w:rFonts w:ascii="宋体" w:hAnsi="宋体" w:eastAsia="宋体"/>
          <w:bCs/>
          <w:szCs w:val="28"/>
          <w:lang w:val="zh-CN"/>
        </w:rPr>
        <w:fldChar w:fldCharType="end"/>
      </w:r>
    </w:p>
    <w:p>
      <w:pPr>
        <w:ind w:firstLine="0" w:firstLineChars="0"/>
        <w:jc w:val="center"/>
        <w:rPr>
          <w:rFonts w:ascii="宋体" w:hAnsi="宋体" w:eastAsia="宋体"/>
          <w:b/>
          <w:bCs/>
          <w:szCs w:val="28"/>
          <w:lang w:val="zh-CN"/>
        </w:rPr>
      </w:pPr>
    </w:p>
    <w:p>
      <w:pPr>
        <w:ind w:firstLine="0" w:firstLineChars="0"/>
        <w:jc w:val="center"/>
        <w:rPr>
          <w:rFonts w:ascii="宋体" w:hAnsi="宋体" w:eastAsia="宋体"/>
          <w:b/>
          <w:bCs/>
          <w:szCs w:val="28"/>
          <w:lang w:val="zh-CN"/>
        </w:rPr>
      </w:pPr>
    </w:p>
    <w:p>
      <w:pPr>
        <w:ind w:firstLine="0" w:firstLineChars="0"/>
        <w:jc w:val="center"/>
        <w:rPr>
          <w:rFonts w:ascii="宋体" w:hAnsi="宋体" w:eastAsia="宋体"/>
          <w:b/>
          <w:bCs/>
          <w:szCs w:val="28"/>
          <w:lang w:val="zh-CN"/>
        </w:rPr>
      </w:pPr>
    </w:p>
    <w:p>
      <w:pPr>
        <w:ind w:firstLine="0" w:firstLineChars="0"/>
        <w:jc w:val="center"/>
        <w:rPr>
          <w:rFonts w:ascii="宋体" w:hAnsi="宋体" w:eastAsia="宋体"/>
          <w:b/>
          <w:bCs/>
          <w:szCs w:val="28"/>
          <w:lang w:val="zh-CN"/>
        </w:rPr>
      </w:pPr>
    </w:p>
    <w:p>
      <w:pPr>
        <w:ind w:firstLine="0" w:firstLineChars="0"/>
        <w:jc w:val="center"/>
        <w:rPr>
          <w:rFonts w:hint="eastAsia" w:ascii="宋体" w:hAnsi="宋体" w:eastAsia="宋体" w:cs="宋体"/>
          <w:sz w:val="44"/>
          <w:szCs w:val="44"/>
        </w:rPr>
      </w:pPr>
      <w:bookmarkStart w:id="34" w:name="_GoBack"/>
      <w:bookmarkEnd w:id="34"/>
    </w:p>
    <w:p>
      <w:pPr>
        <w:ind w:firstLine="0" w:firstLineChars="0"/>
        <w:jc w:val="center"/>
        <w:rPr>
          <w:rFonts w:ascii="宋体" w:hAnsi="宋体" w:eastAsia="宋体" w:cs="宋体"/>
          <w:sz w:val="44"/>
          <w:szCs w:val="44"/>
        </w:rPr>
      </w:pPr>
      <w:r>
        <w:rPr>
          <w:rFonts w:hint="eastAsia" w:ascii="宋体" w:hAnsi="宋体" w:eastAsia="宋体" w:cs="宋体"/>
          <w:sz w:val="44"/>
          <w:szCs w:val="44"/>
        </w:rPr>
        <w:t>北京市怀柔区人民法院安检工作经费</w:t>
      </w:r>
    </w:p>
    <w:p>
      <w:pPr>
        <w:ind w:firstLine="0" w:firstLineChars="0"/>
        <w:jc w:val="center"/>
        <w:rPr>
          <w:rFonts w:hint="eastAsia" w:ascii="宋体" w:hAnsi="宋体" w:eastAsia="宋体" w:cs="宋体"/>
          <w:sz w:val="44"/>
          <w:szCs w:val="44"/>
        </w:rPr>
      </w:pPr>
      <w:r>
        <w:rPr>
          <w:rFonts w:hint="eastAsia" w:ascii="宋体" w:hAnsi="宋体" w:eastAsia="宋体" w:cs="宋体"/>
          <w:sz w:val="44"/>
          <w:szCs w:val="44"/>
        </w:rPr>
        <w:t>项目绩效评价报告</w:t>
      </w:r>
      <w:bookmarkEnd w:id="0"/>
    </w:p>
    <w:p>
      <w:pPr>
        <w:ind w:firstLine="420"/>
        <w:rPr>
          <w:sz w:val="21"/>
          <w:szCs w:val="21"/>
        </w:rPr>
      </w:pPr>
    </w:p>
    <w:p>
      <w:pPr>
        <w:pStyle w:val="2"/>
        <w:ind w:left="560"/>
      </w:pPr>
      <w:bookmarkStart w:id="2" w:name="_Toc134"/>
      <w:bookmarkStart w:id="3" w:name="_Toc11751"/>
      <w:r>
        <w:rPr>
          <w:rFonts w:hint="eastAsia"/>
        </w:rPr>
        <w:t>一、项目概述</w:t>
      </w:r>
      <w:bookmarkEnd w:id="2"/>
      <w:bookmarkEnd w:id="3"/>
    </w:p>
    <w:p>
      <w:pPr>
        <w:pStyle w:val="3"/>
        <w:spacing w:line="240" w:lineRule="auto"/>
        <w:ind w:firstLine="565" w:firstLineChars="176"/>
        <w:rPr>
          <w:rFonts w:hint="eastAsia"/>
        </w:rPr>
      </w:pPr>
      <w:bookmarkStart w:id="4" w:name="_Toc9029"/>
      <w:bookmarkStart w:id="5" w:name="_Toc31736"/>
      <w:r>
        <w:rPr>
          <w:rFonts w:hint="eastAsia"/>
        </w:rPr>
        <w:t>（一）项目概况</w:t>
      </w:r>
      <w:bookmarkEnd w:id="4"/>
      <w:bookmarkEnd w:id="5"/>
    </w:p>
    <w:p>
      <w:pPr>
        <w:ind w:firstLine="640"/>
        <w:rPr>
          <w:rFonts w:hint="eastAsia" w:ascii="仿宋_GB2312" w:hAnsi="仿宋_GB2312" w:cs="仿宋_GB2312"/>
          <w:sz w:val="32"/>
          <w:szCs w:val="32"/>
        </w:rPr>
      </w:pPr>
      <w:bookmarkStart w:id="6" w:name="_Toc17125"/>
      <w:r>
        <w:rPr>
          <w:rFonts w:hint="eastAsia" w:ascii="仿宋_GB2312" w:hAnsi="仿宋_GB2312" w:cs="仿宋_GB2312"/>
          <w:sz w:val="32"/>
          <w:szCs w:val="32"/>
        </w:rPr>
        <w:t>1.项目实施主体</w:t>
      </w:r>
    </w:p>
    <w:p>
      <w:pPr>
        <w:ind w:firstLine="640"/>
        <w:rPr>
          <w:rFonts w:hint="eastAsia" w:ascii="仿宋_GB2312" w:hAnsi="仿宋_GB2312" w:cs="仿宋_GB2312"/>
          <w:sz w:val="32"/>
          <w:szCs w:val="32"/>
        </w:rPr>
      </w:pPr>
      <w:r>
        <w:rPr>
          <w:rFonts w:hint="eastAsia" w:ascii="仿宋_GB2312" w:hAnsi="仿宋_GB2312" w:cs="仿宋_GB2312"/>
          <w:sz w:val="32"/>
          <w:szCs w:val="32"/>
        </w:rPr>
        <w:t>北京市怀柔区人民法院是行政单位，是国家的审判机关，依照法律规定对刑事案件、民商事案件和行政案件进行审理并作出裁决。国家审判权由各级人民法院统一行使，一切需要通过审判来解决的案件均须遵照国家的相关法律法规以及管辖权、审判权等进行审判，任何其他国家机关、社会团体和个人都无权进行审判。</w:t>
      </w:r>
    </w:p>
    <w:p>
      <w:pPr>
        <w:ind w:firstLine="640"/>
        <w:rPr>
          <w:rFonts w:hint="eastAsia" w:ascii="仿宋_GB2312" w:hAnsi="仿宋_GB2312" w:cs="仿宋_GB2312"/>
          <w:sz w:val="32"/>
          <w:szCs w:val="32"/>
        </w:rPr>
      </w:pPr>
      <w:r>
        <w:rPr>
          <w:rFonts w:hint="eastAsia" w:ascii="仿宋_GB2312" w:hAnsi="仿宋_GB2312" w:cs="仿宋_GB2312"/>
          <w:sz w:val="32"/>
          <w:szCs w:val="32"/>
        </w:rPr>
        <w:t>北京市怀柔区人民法院的职责，是通过审判活动，惩治一切犯罪分子，解决各类矛盾纠纷，维护辖区内社会主义法治和社会经济秩序，保卫辖区内所有制财产、集体所有制财产，私人所有的合法财产，保护公民的人身权利、民主权利和其他权利，保障国家社会主义建设事业顺利进行。</w:t>
      </w:r>
    </w:p>
    <w:p>
      <w:pPr>
        <w:ind w:firstLine="640"/>
        <w:rPr>
          <w:rFonts w:hint="eastAsia" w:ascii="仿宋_GB2312" w:hAnsi="仿宋_GB2312" w:cs="仿宋_GB2312"/>
          <w:sz w:val="32"/>
          <w:szCs w:val="32"/>
        </w:rPr>
      </w:pPr>
      <w:r>
        <w:rPr>
          <w:rFonts w:hint="eastAsia" w:ascii="仿宋_GB2312" w:hAnsi="仿宋_GB2312" w:cs="仿宋_GB2312"/>
          <w:sz w:val="32"/>
          <w:szCs w:val="32"/>
        </w:rPr>
        <w:t>“安检工作经费”项目由北京市怀柔区人民法院具体实施。</w:t>
      </w:r>
    </w:p>
    <w:p>
      <w:pPr>
        <w:ind w:firstLine="640"/>
        <w:rPr>
          <w:rFonts w:hint="eastAsia" w:ascii="仿宋_GB2312" w:hAnsi="仿宋_GB2312" w:cs="仿宋_GB2312"/>
          <w:sz w:val="32"/>
          <w:szCs w:val="32"/>
        </w:rPr>
      </w:pPr>
      <w:r>
        <w:rPr>
          <w:rFonts w:hint="eastAsia" w:ascii="仿宋_GB2312" w:hAnsi="仿宋_GB2312" w:cs="仿宋_GB2312"/>
          <w:sz w:val="32"/>
          <w:szCs w:val="32"/>
        </w:rPr>
        <w:t>2.项目主要内容</w:t>
      </w:r>
    </w:p>
    <w:p>
      <w:pPr>
        <w:ind w:firstLine="640"/>
        <w:rPr>
          <w:rFonts w:ascii="仿宋_GB2312" w:hAnsi="仿宋_GB2312" w:cs="仿宋_GB2312"/>
          <w:sz w:val="32"/>
          <w:szCs w:val="32"/>
        </w:rPr>
      </w:pPr>
      <w:r>
        <w:rPr>
          <w:rFonts w:hint="eastAsia" w:ascii="仿宋_GB2312" w:hAnsi="仿宋_GB2312" w:cs="仿宋_GB2312"/>
          <w:sz w:val="32"/>
          <w:szCs w:val="32"/>
        </w:rPr>
        <w:t>我单位安检工作经费为安检人员的委托业务费，由司法警察大队集中管理，负责法院机关、立案庭（诉讼服务中心）、执行局和桥梓法庭办公区、雁栖法庭、汤河口法庭等五个办公区的当事人来访安全检查、办公区安全巡视、监控设备值班等工作，具体包括核查登记诉讼参与人的证件、X光机检查携带物品、手工检查、截留违禁物品、登记相关数据等。</w:t>
      </w:r>
    </w:p>
    <w:p>
      <w:pPr>
        <w:ind w:firstLine="640"/>
        <w:rPr>
          <w:rFonts w:hint="eastAsia" w:ascii="仿宋_GB2312" w:hAnsi="仿宋_GB2312" w:cs="仿宋_GB2312"/>
          <w:sz w:val="32"/>
          <w:szCs w:val="32"/>
        </w:rPr>
      </w:pPr>
      <w:r>
        <w:rPr>
          <w:rFonts w:hint="eastAsia" w:ascii="仿宋_GB2312" w:hAnsi="仿宋_GB2312" w:cs="仿宋_GB2312"/>
          <w:sz w:val="32"/>
          <w:szCs w:val="32"/>
        </w:rPr>
        <w:t>3.项目立项依据</w:t>
      </w:r>
    </w:p>
    <w:p>
      <w:pPr>
        <w:ind w:firstLine="640"/>
        <w:rPr>
          <w:rFonts w:hint="eastAsia" w:ascii="仿宋_GB2312" w:hAnsi="仿宋_GB2312" w:cs="仿宋_GB2312"/>
          <w:sz w:val="32"/>
          <w:szCs w:val="32"/>
        </w:rPr>
      </w:pPr>
      <w:r>
        <w:rPr>
          <w:rFonts w:hint="eastAsia" w:ascii="仿宋_GB2312" w:hAnsi="仿宋_GB2312" w:cs="仿宋_GB2312"/>
          <w:sz w:val="32"/>
          <w:szCs w:val="32"/>
        </w:rPr>
        <w:t>项目主要经高院审批，依据合同等文件精神实施。</w:t>
      </w:r>
    </w:p>
    <w:p>
      <w:pPr>
        <w:ind w:firstLine="640"/>
        <w:rPr>
          <w:rFonts w:hint="eastAsia" w:ascii="仿宋_GB2312" w:hAnsi="仿宋_GB2312" w:cs="仿宋_GB2312"/>
          <w:sz w:val="32"/>
          <w:szCs w:val="32"/>
        </w:rPr>
      </w:pPr>
      <w:r>
        <w:rPr>
          <w:rFonts w:hint="eastAsia" w:ascii="仿宋_GB2312" w:hAnsi="仿宋_GB2312" w:cs="仿宋_GB2312"/>
          <w:sz w:val="32"/>
          <w:szCs w:val="32"/>
        </w:rPr>
        <w:t>4.项目背景</w:t>
      </w:r>
    </w:p>
    <w:p>
      <w:pPr>
        <w:ind w:firstLine="640"/>
        <w:rPr>
          <w:rFonts w:hint="eastAsia" w:ascii="仿宋_GB2312" w:hAnsi="仿宋_GB2312" w:cs="仿宋_GB2312"/>
          <w:sz w:val="32"/>
          <w:szCs w:val="32"/>
        </w:rPr>
      </w:pPr>
      <w:r>
        <w:rPr>
          <w:rFonts w:hint="eastAsia" w:ascii="仿宋_GB2312" w:hAnsi="仿宋_GB2312" w:cs="仿宋_GB2312"/>
          <w:sz w:val="32"/>
          <w:szCs w:val="32"/>
        </w:rPr>
        <w:t>我院有安检机6台，每台安检机配备6名安检员（每台安检机配备3-5名安检人员和1名引导人员，每台安检机至少配备1名女安检员），后因单位资金紧张，缩减至34名安检员，自2017年一直延续上划时规模，维持34名安检人员。</w:t>
      </w:r>
    </w:p>
    <w:p>
      <w:pPr>
        <w:pStyle w:val="3"/>
        <w:spacing w:line="240" w:lineRule="auto"/>
        <w:ind w:firstLine="643"/>
        <w:rPr>
          <w:rFonts w:hint="eastAsia"/>
        </w:rPr>
      </w:pPr>
      <w:bookmarkStart w:id="7" w:name="_Toc23588"/>
      <w:r>
        <w:rPr>
          <w:rFonts w:hint="eastAsia"/>
        </w:rPr>
        <w:t>（二）项目资金情况</w:t>
      </w:r>
      <w:bookmarkEnd w:id="6"/>
      <w:bookmarkEnd w:id="7"/>
    </w:p>
    <w:p>
      <w:pPr>
        <w:ind w:firstLine="640"/>
        <w:rPr>
          <w:rFonts w:hint="eastAsia" w:ascii="仿宋_GB2312" w:hAnsi="仿宋_GB2312" w:cs="仿宋_GB2312"/>
          <w:kern w:val="44"/>
          <w:sz w:val="32"/>
          <w:szCs w:val="32"/>
        </w:rPr>
      </w:pPr>
      <w:bookmarkStart w:id="8" w:name="_Toc1494"/>
      <w:r>
        <w:rPr>
          <w:rFonts w:hint="eastAsia" w:ascii="仿宋_GB2312" w:hAnsi="仿宋_GB2312" w:cs="仿宋_GB2312"/>
          <w:kern w:val="44"/>
          <w:sz w:val="32"/>
          <w:szCs w:val="32"/>
        </w:rPr>
        <w:t>1.项目预算安排</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“安检工作经费”项目批复预算资金为175.44万元</w:t>
      </w:r>
      <w:bookmarkStart w:id="9" w:name="_Toc462328077"/>
      <w:r>
        <w:rPr>
          <w:rFonts w:hint="eastAsia" w:ascii="仿宋_GB2312" w:hAnsi="仿宋_GB2312" w:cs="仿宋_GB2312"/>
          <w:kern w:val="44"/>
          <w:sz w:val="32"/>
          <w:szCs w:val="32"/>
        </w:rPr>
        <w:t>，均为安检工作经费。</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2.预算执行情况</w:t>
      </w:r>
      <w:bookmarkEnd w:id="9"/>
      <w:bookmarkStart w:id="10" w:name="_Toc462328078"/>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项目实际支出175.44万元，预算执行率100.00%。</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3.预算执行结果</w:t>
      </w:r>
      <w:bookmarkEnd w:id="10"/>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“安检工作经费”项目2023年财政预算资金175.44万元，实际支出资金175.44万元，本年支出进度100.00%。</w:t>
      </w:r>
    </w:p>
    <w:p>
      <w:pPr>
        <w:pStyle w:val="3"/>
        <w:spacing w:line="240" w:lineRule="auto"/>
        <w:ind w:firstLine="643"/>
        <w:rPr>
          <w:rFonts w:hint="eastAsia"/>
        </w:rPr>
      </w:pPr>
      <w:bookmarkStart w:id="11" w:name="_Toc32369"/>
      <w:r>
        <w:rPr>
          <w:rFonts w:hint="eastAsia"/>
        </w:rPr>
        <w:t>（三）绩效目标</w:t>
      </w:r>
      <w:bookmarkEnd w:id="8"/>
      <w:bookmarkEnd w:id="11"/>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1.项目总体目标</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安检工作经费”项目经费支出，为保障人民法院审判秩序和人员安全，杜绝影响审判执行工作的正常运行，以及危害法官、法院干警和诉讼参与人的人身财产安全等方面，依法依规对来院诉讼参与人进行安全检查事宜，保证审执工作安全有序的开展。在法警人力不足等情况下，辅助法警完成安全保卫、刑事保障、强制执行等工作。</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2.项目阶段性目标</w:t>
      </w:r>
    </w:p>
    <w:p>
      <w:pPr>
        <w:ind w:firstLine="480" w:firstLineChars="150"/>
        <w:rPr>
          <w:sz w:val="32"/>
          <w:szCs w:val="32"/>
        </w:rPr>
      </w:pPr>
      <w:r>
        <w:rPr>
          <w:rFonts w:hint="eastAsia" w:ascii="仿宋_GB2312" w:hAnsi="仿宋_GB2312" w:cs="仿宋_GB2312"/>
          <w:kern w:val="44"/>
          <w:sz w:val="32"/>
          <w:szCs w:val="32"/>
        </w:rPr>
        <w:t>项目应按照合同约定，按月支付安检员派遣费、加值班费、年限补贴等。</w:t>
      </w:r>
    </w:p>
    <w:p>
      <w:pPr>
        <w:pStyle w:val="2"/>
        <w:ind w:left="560"/>
      </w:pPr>
      <w:bookmarkStart w:id="12" w:name="_Toc27456"/>
      <w:bookmarkStart w:id="13" w:name="_Toc10569"/>
      <w:r>
        <w:rPr>
          <w:rFonts w:hint="eastAsia"/>
        </w:rPr>
        <w:t>二、评价工作简述</w:t>
      </w:r>
      <w:bookmarkEnd w:id="12"/>
      <w:bookmarkEnd w:id="13"/>
    </w:p>
    <w:p>
      <w:pPr>
        <w:pStyle w:val="3"/>
        <w:spacing w:line="240" w:lineRule="auto"/>
        <w:ind w:firstLine="643"/>
      </w:pPr>
      <w:bookmarkStart w:id="14" w:name="_Toc13630"/>
      <w:bookmarkStart w:id="15" w:name="_Toc9465"/>
      <w:r>
        <w:rPr>
          <w:rFonts w:hint="eastAsia"/>
        </w:rPr>
        <w:t>（一）基本情况</w:t>
      </w:r>
      <w:bookmarkEnd w:id="14"/>
      <w:bookmarkEnd w:id="15"/>
    </w:p>
    <w:p>
      <w:pPr>
        <w:ind w:firstLine="640"/>
        <w:rPr>
          <w:rFonts w:hint="eastAsia" w:ascii="仿宋_GB2312" w:hAnsi="仿宋_GB2312" w:cs="仿宋_GB2312"/>
          <w:sz w:val="32"/>
          <w:szCs w:val="32"/>
        </w:rPr>
      </w:pPr>
      <w:bookmarkStart w:id="16" w:name="_Toc6595"/>
      <w:r>
        <w:rPr>
          <w:rFonts w:hint="eastAsia" w:ascii="仿宋_GB2312" w:hAnsi="仿宋_GB2312" w:cs="仿宋_GB2312"/>
          <w:sz w:val="32"/>
          <w:szCs w:val="32"/>
        </w:rPr>
        <w:t>1.评价目的</w:t>
      </w:r>
    </w:p>
    <w:p>
      <w:pPr>
        <w:ind w:firstLine="640"/>
        <w:rPr>
          <w:rFonts w:hint="eastAsia" w:ascii="仿宋_GB2312" w:hAnsi="仿宋_GB2312" w:cs="仿宋_GB2312"/>
          <w:sz w:val="32"/>
          <w:szCs w:val="32"/>
        </w:rPr>
      </w:pPr>
      <w:r>
        <w:rPr>
          <w:rFonts w:hint="eastAsia" w:ascii="仿宋_GB2312" w:hAnsi="仿宋_GB2312" w:cs="仿宋_GB2312"/>
          <w:sz w:val="32"/>
          <w:szCs w:val="32"/>
        </w:rPr>
        <w:t>通过绩效评价，全面、客观反映并科学评价项目的工作成效，对预算管理执行过程中存在的不足提出合理化建议，强化支出责任，使预算管理更加科学、完善，进而规范资金的使用管理，提高资金使用效益和效率。</w:t>
      </w:r>
    </w:p>
    <w:p>
      <w:pPr>
        <w:ind w:firstLine="640"/>
        <w:rPr>
          <w:rFonts w:hint="eastAsia" w:ascii="仿宋_GB2312" w:hAnsi="仿宋_GB2312" w:cs="仿宋_GB2312"/>
          <w:sz w:val="32"/>
          <w:szCs w:val="32"/>
        </w:rPr>
      </w:pPr>
      <w:r>
        <w:rPr>
          <w:rFonts w:hint="eastAsia" w:ascii="仿宋_GB2312" w:hAnsi="仿宋_GB2312" w:cs="仿宋_GB2312"/>
          <w:sz w:val="32"/>
          <w:szCs w:val="32"/>
        </w:rPr>
        <w:t>2.</w:t>
      </w:r>
      <w:r>
        <w:rPr>
          <w:rFonts w:hint="eastAsia"/>
        </w:rPr>
        <w:t xml:space="preserve"> </w:t>
      </w:r>
      <w:r>
        <w:rPr>
          <w:rFonts w:hint="eastAsia" w:ascii="仿宋_GB2312" w:hAnsi="仿宋_GB2312" w:cs="仿宋_GB2312"/>
          <w:sz w:val="32"/>
          <w:szCs w:val="32"/>
        </w:rPr>
        <w:t>评价原则</w:t>
      </w:r>
    </w:p>
    <w:p>
      <w:pPr>
        <w:ind w:firstLine="640"/>
        <w:rPr>
          <w:rFonts w:hint="eastAsia" w:ascii="仿宋_GB2312" w:hAnsi="仿宋_GB2312" w:cs="仿宋_GB2312"/>
          <w:sz w:val="32"/>
          <w:szCs w:val="32"/>
        </w:rPr>
      </w:pPr>
      <w:r>
        <w:rPr>
          <w:rFonts w:hint="eastAsia" w:ascii="仿宋_GB2312" w:hAnsi="仿宋_GB2312" w:cs="仿宋_GB2312"/>
          <w:sz w:val="32"/>
          <w:szCs w:val="32"/>
        </w:rPr>
        <w:t>本次绩效评价工作遵循“科学规范原则、公正公开原则、分级分类原则、绩效相关原则”。</w:t>
      </w:r>
    </w:p>
    <w:p>
      <w:pPr>
        <w:ind w:firstLine="640"/>
        <w:rPr>
          <w:rFonts w:hint="eastAsia" w:ascii="仿宋_GB2312" w:hAnsi="仿宋_GB2312" w:cs="仿宋_GB2312"/>
          <w:sz w:val="32"/>
          <w:szCs w:val="32"/>
        </w:rPr>
      </w:pPr>
      <w:r>
        <w:rPr>
          <w:rFonts w:hint="eastAsia" w:ascii="仿宋_GB2312" w:hAnsi="仿宋_GB2312" w:cs="仿宋_GB2312"/>
          <w:sz w:val="32"/>
          <w:szCs w:val="32"/>
        </w:rPr>
        <w:t>3.评价方法</w:t>
      </w:r>
    </w:p>
    <w:p>
      <w:pPr>
        <w:ind w:firstLine="640"/>
        <w:rPr>
          <w:rFonts w:hint="eastAsia" w:ascii="仿宋_GB2312" w:hAnsi="仿宋_GB2312" w:cs="仿宋_GB2312"/>
          <w:sz w:val="32"/>
          <w:szCs w:val="32"/>
        </w:rPr>
      </w:pPr>
      <w:r>
        <w:rPr>
          <w:rFonts w:hint="eastAsia" w:ascii="仿宋_GB2312" w:hAnsi="仿宋_GB2312" w:cs="仿宋_GB2312"/>
          <w:sz w:val="32"/>
          <w:szCs w:val="32"/>
        </w:rPr>
        <w:t>主要采用成本效益分析法、比较法、因素分析法、最低成本法、公共评判法等。我们遵循简便有效的原则，根据评价对象的具体情况，采用成本效益分析法、比较法、因素分析法、最低成本法进行绩效评价。</w:t>
      </w:r>
    </w:p>
    <w:p>
      <w:pPr>
        <w:ind w:firstLine="640"/>
        <w:rPr>
          <w:rFonts w:hint="eastAsia" w:ascii="仿宋_GB2312" w:hAnsi="仿宋_GB2312" w:cs="仿宋_GB2312"/>
          <w:sz w:val="32"/>
          <w:szCs w:val="32"/>
        </w:rPr>
      </w:pPr>
      <w:r>
        <w:rPr>
          <w:rFonts w:hint="eastAsia" w:ascii="仿宋_GB2312" w:hAnsi="仿宋_GB2312" w:cs="仿宋_GB2312"/>
          <w:sz w:val="32"/>
          <w:szCs w:val="32"/>
        </w:rPr>
        <w:t>4.指标体系说明</w:t>
      </w:r>
    </w:p>
    <w:p>
      <w:pPr>
        <w:ind w:firstLine="640"/>
        <w:rPr>
          <w:rFonts w:hint="eastAsia" w:ascii="仿宋_GB2312" w:hAnsi="仿宋_GB2312" w:cs="仿宋_GB2312"/>
          <w:sz w:val="32"/>
          <w:szCs w:val="32"/>
        </w:rPr>
      </w:pPr>
      <w:r>
        <w:rPr>
          <w:rFonts w:hint="eastAsia" w:ascii="仿宋_GB2312" w:hAnsi="仿宋_GB2312" w:cs="仿宋_GB2312"/>
          <w:sz w:val="32"/>
          <w:szCs w:val="32"/>
        </w:rPr>
        <w:t>考评指标体系是参照“项目指标体系（范本）”的基础上，结合项目特点，增设了三级指标和四级指标。在项目决策的指标下增设项目目标是否已明确落实、项目目标是否能够实现、项目制定了规范的程序、项目与本单位职能的相符性、项目是否符合区域发展规划、项目可行性研究开展情况、审批程序履行情况、风险预测和防范情况八个四级指标，以反应项目的绩效目标及决策过程情况；在项目管理指标下增设预算编制的准确、预算执行与预算编制是否相符、预算是否有合理执行计划、项目单位向资金使用单位拨付资金是否足额及时、资金到位率、财务管理制度的健全性、会计核算制度的合法完整、财务管理制度执行的有效性、财务管理制度监督情况、财务资料是否完整规范性、项目单位是否成立工作领导小组、项目单位是否建立相应工作机构、项目单位是否制定实施方案、项目单位是否落实专人负责、项目单位内部制度的制定情况、项目单位内部制度的执行情况、项目分工是否合理和责任是否明确、所有项目是否严格按相关文件执行、项目管理是否规范和有效十九个四级指标，以反应项目资金及项目实施的情况；在项目绩效指标下增设项目按计划完成比率、项目产出数量是否达到绩效目标、项目产出实效是否达到绩效目标、项目全年结算总价和目标成本比例、项目的实施对社会影响力的影响、项目对公共主页的影响、项目的实施对网上办案影响、项目的实施对便捷群众的影响、项目实施政策和服务效果的满意程度十个四级指标，以反应项目的产出及效果情况。</w:t>
      </w:r>
    </w:p>
    <w:p>
      <w:pPr>
        <w:ind w:firstLine="640"/>
        <w:rPr>
          <w:rFonts w:hint="eastAsia" w:ascii="仿宋_GB2312" w:hAnsi="仿宋_GB2312" w:cs="仿宋_GB2312"/>
          <w:sz w:val="32"/>
          <w:szCs w:val="32"/>
        </w:rPr>
      </w:pPr>
      <w:r>
        <w:rPr>
          <w:rFonts w:hint="eastAsia" w:ascii="仿宋_GB2312" w:hAnsi="仿宋_GB2312" w:cs="仿宋_GB2312"/>
          <w:sz w:val="32"/>
          <w:szCs w:val="32"/>
        </w:rPr>
        <w:t>5.评价结论及等级确定</w:t>
      </w:r>
    </w:p>
    <w:p>
      <w:pPr>
        <w:ind w:firstLine="640"/>
        <w:rPr>
          <w:rFonts w:hint="eastAsia"/>
          <w:kern w:val="44"/>
          <w:sz w:val="32"/>
          <w:szCs w:val="32"/>
        </w:rPr>
      </w:pPr>
      <w:r>
        <w:rPr>
          <w:rFonts w:hint="eastAsia" w:ascii="仿宋_GB2312" w:hAnsi="仿宋_GB2312" w:cs="仿宋_GB2312"/>
          <w:sz w:val="32"/>
          <w:szCs w:val="32"/>
        </w:rPr>
        <w:t>绩效评价级别评定结论分为优秀、良好、一般和较差四个档次，其中综合得分在90分（含90分）以上，绩效级别评定为优秀；综合得分在75分-90分（含75分），绩效级别评定为良好；综合得分在60分-75分（含60分），绩效级别评定为一般；综合得分在60分以下，绩效级别评定为较差。</w:t>
      </w:r>
    </w:p>
    <w:p>
      <w:pPr>
        <w:pStyle w:val="3"/>
        <w:spacing w:line="240" w:lineRule="auto"/>
        <w:ind w:firstLine="565" w:firstLineChars="176"/>
      </w:pPr>
      <w:bookmarkStart w:id="17" w:name="_Toc26865"/>
      <w:r>
        <w:rPr>
          <w:rFonts w:hint="eastAsia"/>
        </w:rPr>
        <w:t>（二）评价组织实施</w:t>
      </w:r>
      <w:bookmarkEnd w:id="16"/>
      <w:bookmarkEnd w:id="17"/>
    </w:p>
    <w:p>
      <w:pPr>
        <w:ind w:firstLine="640"/>
        <w:rPr>
          <w:rFonts w:hint="eastAsia" w:ascii="仿宋_GB2312" w:hAnsi="仿宋_GB2312" w:cs="仿宋_GB2312"/>
          <w:kern w:val="44"/>
          <w:sz w:val="32"/>
          <w:szCs w:val="32"/>
        </w:rPr>
      </w:pPr>
      <w:bookmarkStart w:id="18" w:name="_Toc20772"/>
      <w:r>
        <w:rPr>
          <w:rFonts w:hint="eastAsia" w:ascii="仿宋_GB2312" w:hAnsi="仿宋_GB2312" w:cs="仿宋_GB2312"/>
          <w:kern w:val="44"/>
          <w:sz w:val="32"/>
          <w:szCs w:val="32"/>
        </w:rPr>
        <w:t>1.前期准备情况</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项目评价工作组根据北京市怀柔区人民法院和北京中诚恒平会计师事务所有限公司签订的合同内容要求，拟定项目绩效考评需要准备的资料清单及项目单位需要书写的自评报告模板， 2024年5月7日组织项目单位召开绩效考评工作现场布置会，讲述绩效考评工作开展的流程及注意事项，并就考评指标体系及要点向项目单位进行详细讲解，印发并详细讲解绩效考评资料清单及自评报告模板。</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2.现场核查情况</w:t>
      </w:r>
    </w:p>
    <w:p>
      <w:pPr>
        <w:ind w:firstLine="640"/>
        <w:rPr>
          <w:rFonts w:hint="eastAsia" w:ascii="仿宋_GB2312" w:hAnsi="仿宋_GB2312" w:cs="仿宋_GB2312"/>
          <w:sz w:val="32"/>
          <w:szCs w:val="32"/>
        </w:rPr>
      </w:pPr>
      <w:r>
        <w:rPr>
          <w:rFonts w:hint="eastAsia" w:ascii="仿宋_GB2312" w:hAnsi="仿宋_GB2312" w:cs="仿宋_GB2312"/>
          <w:sz w:val="32"/>
          <w:szCs w:val="32"/>
        </w:rPr>
        <w:t>一是了解绩效目标设立及完成情况。评价工作组通过查阅北京市相关政策文件以及北京市怀柔区人民法院2023年度项目申报文本等资料，了解预期绩效目标设立情况，并将反映项目完成结果的相关材料与各项预期绩效目标进行比对，评价项目绩效目标完成情况。</w:t>
      </w:r>
    </w:p>
    <w:p>
      <w:pPr>
        <w:ind w:firstLine="640"/>
        <w:rPr>
          <w:rFonts w:hint="eastAsia" w:ascii="仿宋_GB2312" w:hAnsi="仿宋_GB2312" w:cs="仿宋_GB2312"/>
          <w:sz w:val="32"/>
          <w:szCs w:val="32"/>
        </w:rPr>
      </w:pPr>
      <w:r>
        <w:rPr>
          <w:rFonts w:hint="eastAsia" w:ascii="仿宋_GB2312" w:hAnsi="仿宋_GB2312" w:cs="仿宋_GB2312"/>
          <w:sz w:val="32"/>
          <w:szCs w:val="32"/>
        </w:rPr>
        <w:t>二是了解项目效益实现情况。在社会效益方面，主要是通过查阅相关文件以及相关数据统计资料，对项目的社会效益和可持续性进行分析。</w:t>
      </w:r>
    </w:p>
    <w:p>
      <w:pPr>
        <w:ind w:firstLine="0" w:firstLineChars="0"/>
        <w:rPr>
          <w:rFonts w:hint="eastAsia" w:ascii="仿宋_GB2312" w:hAnsi="仿宋_GB2312" w:cs="仿宋_GB2312"/>
          <w:sz w:val="32"/>
          <w:szCs w:val="32"/>
        </w:rPr>
      </w:pPr>
      <w:r>
        <w:rPr>
          <w:rFonts w:hint="eastAsia" w:ascii="仿宋_GB2312" w:hAnsi="仿宋_GB2312" w:cs="仿宋_GB2312"/>
          <w:sz w:val="32"/>
          <w:szCs w:val="32"/>
        </w:rPr>
        <w:t xml:space="preserve">   </w:t>
      </w:r>
      <w:r>
        <w:rPr>
          <w:rFonts w:hint="eastAsia" w:ascii="宋体" w:hAnsi="宋体" w:eastAsia="宋体"/>
          <w:kern w:val="44"/>
          <w:szCs w:val="28"/>
        </w:rPr>
        <w:t>3.资料信息汇总</w:t>
      </w:r>
    </w:p>
    <w:p>
      <w:pPr>
        <w:ind w:firstLine="0" w:firstLineChars="0"/>
        <w:rPr>
          <w:rFonts w:hint="eastAsia" w:ascii="仿宋_GB2312" w:hAnsi="仿宋_GB2312" w:cs="仿宋_GB2312"/>
          <w:sz w:val="32"/>
          <w:szCs w:val="32"/>
        </w:rPr>
      </w:pPr>
      <w:r>
        <w:rPr>
          <w:rFonts w:hint="eastAsia" w:ascii="仿宋_GB2312" w:hAnsi="仿宋_GB2312" w:cs="仿宋_GB2312"/>
          <w:sz w:val="32"/>
          <w:szCs w:val="32"/>
        </w:rPr>
        <w:t xml:space="preserve">    三是评价工作组与评价对象充分、多次沟通的基础上，陆续搜集和整理与项目相关的资料并确认资料是否齐备。在此基础上，汇总分析评价资料并装订成专家考评手册，供专家审阅评议。</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3.遴选专家，组成专家评价工作组</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评价工作组根据项目实际情况，遴选相关管理专家、财政财务专家和业务专家，组成专家评价工作组。</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4.评价分析</w:t>
      </w:r>
    </w:p>
    <w:p>
      <w:pPr>
        <w:spacing w:line="360" w:lineRule="auto"/>
        <w:ind w:firstLine="560"/>
        <w:rPr>
          <w:rFonts w:ascii="宋体" w:hAnsi="宋体" w:eastAsia="宋体"/>
          <w:kern w:val="44"/>
          <w:szCs w:val="28"/>
        </w:rPr>
      </w:pPr>
      <w:r>
        <w:rPr>
          <w:rFonts w:hint="eastAsia" w:ascii="宋体" w:hAnsi="宋体" w:eastAsia="宋体"/>
          <w:szCs w:val="28"/>
        </w:rPr>
        <w:t>（</w:t>
      </w:r>
      <w:r>
        <w:rPr>
          <w:rFonts w:ascii="宋体" w:hAnsi="宋体" w:eastAsia="宋体"/>
          <w:szCs w:val="28"/>
        </w:rPr>
        <w:t>1</w:t>
      </w:r>
      <w:r>
        <w:rPr>
          <w:rFonts w:hint="eastAsia" w:ascii="宋体" w:hAnsi="宋体" w:eastAsia="宋体"/>
          <w:szCs w:val="28"/>
        </w:rPr>
        <w:t>）制定指标体系</w:t>
      </w:r>
    </w:p>
    <w:p>
      <w:pPr>
        <w:ind w:firstLine="640"/>
        <w:rPr>
          <w:rFonts w:hint="eastAsia" w:ascii="仿宋_GB2312" w:hAnsi="仿宋_GB2312" w:cs="仿宋_GB2312"/>
          <w:sz w:val="32"/>
          <w:szCs w:val="32"/>
        </w:rPr>
      </w:pPr>
      <w:r>
        <w:rPr>
          <w:rFonts w:hint="eastAsia" w:ascii="仿宋_GB2312" w:hAnsi="仿宋_GB2312" w:cs="仿宋_GB2312"/>
          <w:sz w:val="32"/>
          <w:szCs w:val="32"/>
        </w:rPr>
        <w:t>结合项目情况，细化指标体系。充分听取专家、项目单位的意见，确定绩效指标体系最终内容。</w:t>
      </w:r>
    </w:p>
    <w:p>
      <w:pPr>
        <w:spacing w:line="360" w:lineRule="auto"/>
        <w:ind w:firstLine="560"/>
        <w:rPr>
          <w:rFonts w:hint="eastAsia" w:ascii="宋体" w:hAnsi="宋体" w:eastAsia="宋体"/>
          <w:snapToGrid w:val="0"/>
          <w:kern w:val="0"/>
          <w:szCs w:val="28"/>
        </w:rPr>
      </w:pPr>
      <w:r>
        <w:rPr>
          <w:rFonts w:hint="eastAsia" w:ascii="宋体" w:hAnsi="宋体" w:eastAsia="宋体"/>
          <w:snapToGrid w:val="0"/>
          <w:szCs w:val="28"/>
        </w:rPr>
        <w:t>（</w:t>
      </w:r>
      <w:r>
        <w:rPr>
          <w:rFonts w:ascii="宋体" w:hAnsi="宋体" w:eastAsia="宋体"/>
          <w:snapToGrid w:val="0"/>
          <w:szCs w:val="28"/>
        </w:rPr>
        <w:t>2</w:t>
      </w:r>
      <w:r>
        <w:rPr>
          <w:rFonts w:hint="eastAsia" w:ascii="宋体" w:hAnsi="宋体" w:eastAsia="宋体"/>
          <w:snapToGrid w:val="0"/>
          <w:szCs w:val="28"/>
        </w:rPr>
        <w:t>）召开专家评价会</w:t>
      </w:r>
    </w:p>
    <w:p>
      <w:pPr>
        <w:ind w:firstLine="640"/>
        <w:rPr>
          <w:rFonts w:hint="eastAsia" w:ascii="仿宋_GB2312" w:hAnsi="仿宋_GB2312" w:cs="仿宋_GB2312"/>
          <w:sz w:val="32"/>
          <w:szCs w:val="32"/>
        </w:rPr>
      </w:pPr>
      <w:r>
        <w:rPr>
          <w:rFonts w:hint="eastAsia" w:ascii="仿宋_GB2312" w:hAnsi="仿宋_GB2312" w:cs="仿宋_GB2312"/>
          <w:sz w:val="32"/>
          <w:szCs w:val="32"/>
        </w:rPr>
        <w:t>对该项目的绩效评价工作以视频会议形式组织召开。评价工作组收集项目所需资料完成前期准备工作后于2024年5月8日下午召开专家预备会，会后及时将专家提出的问题与项目单位进行沟通。评价工作组于2024年5月9日上午组织召开了项目专家评价会，专家组对项目的绩效情况进行评价、打分给出了具体的评价意见，并根据讨论的内容编写《专家意见汇总书》。</w:t>
      </w:r>
    </w:p>
    <w:p>
      <w:pPr>
        <w:pStyle w:val="4"/>
        <w:spacing w:before="0" w:after="0" w:line="360" w:lineRule="auto"/>
        <w:ind w:firstLine="560"/>
        <w:rPr>
          <w:rFonts w:hint="eastAsia" w:ascii="宋体" w:hAnsi="宋体" w:eastAsia="宋体"/>
          <w:b w:val="0"/>
          <w:kern w:val="44"/>
          <w:sz w:val="28"/>
          <w:szCs w:val="28"/>
        </w:rPr>
      </w:pPr>
      <w:bookmarkStart w:id="19" w:name="_Toc13531"/>
      <w:r>
        <w:rPr>
          <w:rFonts w:hint="eastAsia" w:ascii="宋体" w:hAnsi="宋体" w:eastAsia="宋体"/>
          <w:b w:val="0"/>
          <w:kern w:val="44"/>
          <w:sz w:val="28"/>
          <w:szCs w:val="28"/>
        </w:rPr>
        <w:t>5.出具报告及</w:t>
      </w:r>
      <w:r>
        <w:rPr>
          <w:rFonts w:ascii="宋体" w:hAnsi="宋体" w:eastAsia="宋体"/>
          <w:b w:val="0"/>
          <w:kern w:val="44"/>
          <w:sz w:val="28"/>
          <w:szCs w:val="28"/>
        </w:rPr>
        <w:t>其他内容</w:t>
      </w:r>
      <w:bookmarkEnd w:id="19"/>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专家考评会后，由项目评价工作组根据专家意见，结合项目单位的自评报告及项目资料，实施绩效评价报告的书写工作。根据项目单位的绩效评价资料、项目单位绩效报告，反映项目概况、项目资金情况及项目绩效目标三方面内容；根据项目绩效考评的具体工作实施及专家考评书及意见汇总书，反应项目的评价工作简述及绩效评价分析。最终由项目评价工作组进行报告的定稿并出具报告。</w:t>
      </w:r>
    </w:p>
    <w:p>
      <w:pPr>
        <w:ind w:firstLine="640"/>
        <w:rPr>
          <w:rFonts w:hint="eastAsia" w:ascii="仿宋_GB2312" w:hAnsi="仿宋_GB2312" w:cs="仿宋_GB2312"/>
          <w:sz w:val="32"/>
          <w:szCs w:val="32"/>
        </w:rPr>
      </w:pPr>
    </w:p>
    <w:p>
      <w:pPr>
        <w:pStyle w:val="2"/>
        <w:ind w:left="560" w:firstLine="6" w:firstLineChars="2"/>
      </w:pPr>
      <w:bookmarkStart w:id="20" w:name="_Toc4829"/>
      <w:r>
        <w:rPr>
          <w:rFonts w:hint="eastAsia"/>
        </w:rPr>
        <w:t>三、绩效评价分析</w:t>
      </w:r>
      <w:bookmarkEnd w:id="18"/>
      <w:bookmarkEnd w:id="20"/>
    </w:p>
    <w:p>
      <w:pPr>
        <w:pStyle w:val="3"/>
        <w:spacing w:line="240" w:lineRule="auto"/>
        <w:ind w:firstLine="565" w:firstLineChars="176"/>
      </w:pPr>
      <w:bookmarkStart w:id="21" w:name="_Toc14053"/>
      <w:bookmarkStart w:id="22" w:name="_Toc22538"/>
      <w:r>
        <w:rPr>
          <w:rFonts w:hint="eastAsia"/>
        </w:rPr>
        <w:t>（一）项目绩效目标评价分析</w:t>
      </w:r>
      <w:bookmarkEnd w:id="21"/>
      <w:bookmarkEnd w:id="22"/>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1.目标明确性分析</w:t>
      </w:r>
    </w:p>
    <w:p>
      <w:pPr>
        <w:ind w:firstLine="640"/>
        <w:rPr>
          <w:rFonts w:hint="eastAsia" w:ascii="仿宋_GB2312" w:hAnsi="仿宋_GB2312" w:cs="仿宋_GB2312"/>
          <w:sz w:val="32"/>
          <w:szCs w:val="32"/>
        </w:rPr>
      </w:pPr>
      <w:r>
        <w:rPr>
          <w:rFonts w:hint="eastAsia" w:ascii="仿宋_GB2312" w:hAnsi="仿宋_GB2312" w:cs="仿宋_GB2312"/>
          <w:kern w:val="44"/>
          <w:sz w:val="32"/>
          <w:szCs w:val="32"/>
        </w:rPr>
        <w:t>项目单位确立的目标为保障了人民法院审判秩序和人员安全，杜绝了影响审判执行工作的正常运行，以及危害法官、法院干警和诉讼参与人的人身财产安全等方面，依法依规对来院诉讼参与人进行安全检查事宜，保证审执工作安全有序的开展。在法警人力不足等情况下，辅助法警完成安全保卫、刑事保障、强制执行等工作，</w:t>
      </w:r>
      <w:r>
        <w:rPr>
          <w:rFonts w:hint="eastAsia" w:ascii="仿宋_GB2312" w:hAnsi="仿宋_GB2312" w:cs="仿宋_GB2312"/>
          <w:sz w:val="32"/>
          <w:szCs w:val="32"/>
        </w:rPr>
        <w:t>项目</w:t>
      </w:r>
      <w:r>
        <w:rPr>
          <w:rFonts w:hint="eastAsia" w:ascii="仿宋_GB2312" w:hAnsi="仿宋_GB2312" w:cs="仿宋_GB2312"/>
          <w:kern w:val="44"/>
          <w:sz w:val="32"/>
          <w:szCs w:val="32"/>
        </w:rPr>
        <w:t>目标明确</w:t>
      </w:r>
      <w:r>
        <w:rPr>
          <w:rFonts w:hint="eastAsia" w:ascii="仿宋_GB2312" w:hAnsi="仿宋_GB2312" w:cs="仿宋_GB2312"/>
          <w:sz w:val="32"/>
          <w:szCs w:val="32"/>
        </w:rPr>
        <w:t>。</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2.目标合理性分析</w:t>
      </w:r>
    </w:p>
    <w:p>
      <w:pPr>
        <w:ind w:firstLine="640"/>
        <w:rPr>
          <w:rFonts w:hint="eastAsia" w:ascii="仿宋_GB2312" w:hAnsi="仿宋"/>
          <w:sz w:val="32"/>
          <w:szCs w:val="32"/>
        </w:rPr>
      </w:pPr>
      <w:r>
        <w:rPr>
          <w:rFonts w:hint="eastAsia" w:ascii="仿宋_GB2312" w:hAnsi="仿宋"/>
          <w:sz w:val="32"/>
          <w:szCs w:val="32"/>
        </w:rPr>
        <w:t>项目目标可以保障人民法院审判秩序和人员安全，杜绝了影响审判执行工作的正常运行，以及危害法官、法院干警和诉讼参与人的人身财产安全等。</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3.目标细化程度分析</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在项目目标细化方面，项目单位设定的绩效目标比较简单，项目可行性分析不够深入完整。</w:t>
      </w:r>
    </w:p>
    <w:p>
      <w:pPr>
        <w:pStyle w:val="3"/>
        <w:spacing w:line="240" w:lineRule="auto"/>
        <w:ind w:firstLine="424" w:firstLineChars="132"/>
      </w:pPr>
      <w:bookmarkStart w:id="23" w:name="_Toc29160"/>
      <w:bookmarkStart w:id="24" w:name="_Toc15764"/>
      <w:r>
        <w:rPr>
          <w:rFonts w:hint="eastAsia"/>
        </w:rPr>
        <w:t>（二）项目绩效控制评价分析</w:t>
      </w:r>
      <w:bookmarkEnd w:id="23"/>
      <w:bookmarkEnd w:id="24"/>
    </w:p>
    <w:p>
      <w:pPr>
        <w:ind w:firstLine="640"/>
        <w:rPr>
          <w:rFonts w:hint="eastAsia" w:ascii="仿宋_GB2312" w:hAnsi="仿宋_GB2312" w:cs="仿宋_GB2312"/>
          <w:sz w:val="32"/>
          <w:szCs w:val="32"/>
        </w:rPr>
      </w:pPr>
      <w:r>
        <w:rPr>
          <w:rFonts w:hint="eastAsia" w:ascii="仿宋_GB2312" w:hAnsi="仿宋_GB2312" w:cs="仿宋_GB2312"/>
          <w:sz w:val="32"/>
          <w:szCs w:val="32"/>
        </w:rPr>
        <w:t>1.资金使用及管理情况分析</w:t>
      </w:r>
    </w:p>
    <w:p>
      <w:pPr>
        <w:numPr>
          <w:ilvl w:val="0"/>
          <w:numId w:val="1"/>
        </w:numPr>
        <w:ind w:firstLine="512" w:firstLineChars="0"/>
        <w:rPr>
          <w:rFonts w:hint="eastAsia" w:ascii="仿宋_GB2312" w:hAnsi="仿宋_GB2312" w:cs="仿宋_GB2312"/>
          <w:kern w:val="44"/>
          <w:sz w:val="32"/>
          <w:szCs w:val="32"/>
        </w:rPr>
      </w:pPr>
      <w:r>
        <w:rPr>
          <w:rFonts w:hint="eastAsia" w:ascii="仿宋_GB2312" w:hAnsi="仿宋_GB2312" w:cs="仿宋_GB2312"/>
          <w:kern w:val="44"/>
          <w:sz w:val="32"/>
          <w:szCs w:val="32"/>
        </w:rPr>
        <w:t>项目资金实际使用情况</w:t>
      </w:r>
    </w:p>
    <w:p>
      <w:pPr>
        <w:ind w:firstLine="640"/>
        <w:rPr>
          <w:rFonts w:hint="eastAsia" w:ascii="仿宋_GB2312" w:hAnsi="仿宋"/>
          <w:sz w:val="32"/>
          <w:szCs w:val="32"/>
        </w:rPr>
      </w:pPr>
      <w:r>
        <w:rPr>
          <w:rFonts w:hint="eastAsia" w:ascii="仿宋_GB2312" w:hAnsi="仿宋"/>
          <w:sz w:val="32"/>
          <w:szCs w:val="32"/>
        </w:rPr>
        <w:t>该</w:t>
      </w:r>
      <w:r>
        <w:rPr>
          <w:rFonts w:hint="eastAsia" w:ascii="仿宋_GB2312" w:hAnsi="仿宋_GB2312" w:cs="仿宋_GB2312"/>
          <w:sz w:val="32"/>
          <w:szCs w:val="32"/>
        </w:rPr>
        <w:t>项</w:t>
      </w:r>
      <w:r>
        <w:rPr>
          <w:rFonts w:hint="eastAsia" w:ascii="仿宋_GB2312" w:hAnsi="仿宋"/>
          <w:sz w:val="32"/>
          <w:szCs w:val="32"/>
        </w:rPr>
        <w:t>目年初预算175.44万元。项目预算</w:t>
      </w:r>
      <w:r>
        <w:rPr>
          <w:rFonts w:hint="eastAsia" w:ascii="仿宋_GB2312" w:hAnsi="仿宋_GB2312" w:cs="仿宋_GB2312"/>
          <w:kern w:val="44"/>
          <w:sz w:val="32"/>
          <w:szCs w:val="32"/>
        </w:rPr>
        <w:t>评审金额</w:t>
      </w:r>
      <w:r>
        <w:rPr>
          <w:rFonts w:hint="eastAsia" w:ascii="仿宋_GB2312" w:hAnsi="仿宋"/>
          <w:sz w:val="32"/>
          <w:szCs w:val="32"/>
        </w:rPr>
        <w:t>175.44</w:t>
      </w:r>
      <w:r>
        <w:rPr>
          <w:rFonts w:hint="eastAsia" w:ascii="仿宋_GB2312" w:hAnsi="仿宋_GB2312" w:cs="仿宋_GB2312"/>
          <w:kern w:val="44"/>
          <w:sz w:val="32"/>
          <w:szCs w:val="32"/>
        </w:rPr>
        <w:t>万元，结算审定金额</w:t>
      </w:r>
      <w:r>
        <w:rPr>
          <w:rFonts w:hint="eastAsia" w:ascii="仿宋_GB2312" w:hAnsi="仿宋"/>
          <w:sz w:val="32"/>
          <w:szCs w:val="32"/>
        </w:rPr>
        <w:t>175.44</w:t>
      </w:r>
      <w:r>
        <w:rPr>
          <w:rFonts w:hint="eastAsia" w:ascii="仿宋_GB2312" w:hAnsi="仿宋_GB2312" w:cs="仿宋_GB2312"/>
          <w:kern w:val="44"/>
          <w:sz w:val="32"/>
          <w:szCs w:val="32"/>
        </w:rPr>
        <w:t>万元，实际</w:t>
      </w:r>
      <w:r>
        <w:rPr>
          <w:rFonts w:hint="eastAsia" w:ascii="仿宋_GB2312" w:hAnsi="仿宋"/>
          <w:sz w:val="32"/>
          <w:szCs w:val="32"/>
        </w:rPr>
        <w:t>支出资金175.44万元，该笔支出陆续发生，在2023年9月前支付全部项目资金175.44万元，以上资金通过财政一般支付方式拨付。</w:t>
      </w:r>
    </w:p>
    <w:p>
      <w:pPr>
        <w:numPr>
          <w:ilvl w:val="0"/>
          <w:numId w:val="1"/>
        </w:numPr>
        <w:ind w:firstLine="512" w:firstLineChars="160"/>
        <w:rPr>
          <w:rFonts w:hint="eastAsia" w:ascii="仿宋_GB2312" w:hAnsi="仿宋_GB2312" w:cs="仿宋_GB2312"/>
          <w:sz w:val="32"/>
          <w:szCs w:val="32"/>
        </w:rPr>
      </w:pPr>
      <w:r>
        <w:rPr>
          <w:rFonts w:hint="eastAsia" w:ascii="仿宋_GB2312" w:hAnsi="仿宋_GB2312" w:cs="仿宋_GB2312"/>
          <w:sz w:val="32"/>
          <w:szCs w:val="32"/>
        </w:rPr>
        <w:t>项目资金管理情况</w:t>
      </w:r>
    </w:p>
    <w:p>
      <w:pPr>
        <w:ind w:firstLine="640"/>
        <w:rPr>
          <w:rFonts w:hint="eastAsia" w:ascii="仿宋_GB2312" w:hAnsi="仿宋_GB2312" w:cs="仿宋_GB2312"/>
          <w:sz w:val="32"/>
          <w:szCs w:val="32"/>
          <w:lang w:val="zh-CN"/>
        </w:rPr>
      </w:pPr>
      <w:r>
        <w:rPr>
          <w:rFonts w:hint="eastAsia" w:ascii="仿宋_GB2312" w:hAnsi="仿宋_GB2312" w:cs="仿宋_GB2312"/>
          <w:sz w:val="32"/>
          <w:szCs w:val="32"/>
          <w:lang w:val="zh-CN"/>
        </w:rPr>
        <w:t>按照《会计法》及我院《三重一大制度》、《财务管理制度》、《内控管理制度》、《合同管理制度》等法律法规要求，做到职位职责分工明确，严格履行各项相关手续，专款专用。</w:t>
      </w:r>
      <w:r>
        <w:rPr>
          <w:rFonts w:hint="eastAsia" w:ascii="仿宋_GB2312" w:hAnsi="仿宋_GB2312" w:cs="仿宋_GB2312"/>
          <w:sz w:val="32"/>
          <w:szCs w:val="32"/>
        </w:rPr>
        <w:t xml:space="preserve"> </w:t>
      </w:r>
    </w:p>
    <w:p>
      <w:pPr>
        <w:ind w:firstLine="640"/>
        <w:rPr>
          <w:rFonts w:hint="eastAsia" w:ascii="仿宋_GB2312" w:hAnsi="仿宋_GB2312" w:cs="仿宋_GB2312"/>
          <w:sz w:val="32"/>
          <w:szCs w:val="32"/>
        </w:rPr>
      </w:pPr>
      <w:r>
        <w:rPr>
          <w:rFonts w:hint="eastAsia" w:ascii="仿宋_GB2312" w:hAnsi="仿宋_GB2312" w:cs="仿宋_GB2312"/>
          <w:sz w:val="32"/>
          <w:szCs w:val="32"/>
        </w:rPr>
        <w:t>2.项目组织情况</w:t>
      </w:r>
    </w:p>
    <w:p>
      <w:pPr>
        <w:ind w:firstLine="640"/>
        <w:rPr>
          <w:rFonts w:hint="eastAsia" w:ascii="仿宋_GB2312" w:hAnsi="仿宋_GB2312" w:cs="仿宋_GB2312"/>
          <w:sz w:val="32"/>
          <w:szCs w:val="32"/>
          <w:lang w:val="zh-CN"/>
        </w:rPr>
      </w:pPr>
      <w:r>
        <w:rPr>
          <w:rFonts w:hint="eastAsia" w:ascii="仿宋_GB2312" w:hAnsi="仿宋_GB2312" w:cs="仿宋_GB2312"/>
          <w:sz w:val="32"/>
          <w:szCs w:val="32"/>
        </w:rPr>
        <w:t>项目经党组确认</w:t>
      </w:r>
      <w:r>
        <w:rPr>
          <w:rFonts w:hint="eastAsia" w:ascii="仿宋_GB2312" w:hAnsi="仿宋_GB2312" w:cs="仿宋_GB2312"/>
          <w:sz w:val="32"/>
          <w:szCs w:val="32"/>
          <w:lang w:val="zh-CN"/>
        </w:rPr>
        <w:t>，</w:t>
      </w:r>
      <w:r>
        <w:rPr>
          <w:rFonts w:hint="eastAsia" w:ascii="仿宋_GB2312" w:hAnsi="仿宋_GB2312" w:cs="仿宋_GB2312"/>
          <w:sz w:val="32"/>
          <w:szCs w:val="32"/>
        </w:rPr>
        <w:t>服务公司为高院指定服务单位，</w:t>
      </w:r>
      <w:r>
        <w:rPr>
          <w:rFonts w:hint="eastAsia" w:ascii="仿宋_GB2312" w:hAnsi="仿宋_GB2312" w:cs="仿宋_GB2312"/>
          <w:sz w:val="32"/>
          <w:szCs w:val="32"/>
          <w:lang w:val="zh-CN"/>
        </w:rPr>
        <w:t>本院最终</w:t>
      </w:r>
      <w:r>
        <w:rPr>
          <w:rFonts w:hint="eastAsia" w:ascii="仿宋_GB2312" w:hAnsi="仿宋_GB2312" w:cs="仿宋_GB2312"/>
          <w:sz w:val="32"/>
          <w:szCs w:val="32"/>
        </w:rPr>
        <w:t>与中军军弘安全科技服务集团有限公司签订了高院统一制式合同模板</w:t>
      </w:r>
      <w:r>
        <w:rPr>
          <w:rFonts w:hint="eastAsia" w:ascii="仿宋_GB2312" w:hAnsi="仿宋_GB2312" w:cs="仿宋_GB2312"/>
          <w:sz w:val="32"/>
          <w:szCs w:val="32"/>
          <w:lang w:val="zh-CN"/>
        </w:rPr>
        <w:t>。</w:t>
      </w:r>
    </w:p>
    <w:p>
      <w:pPr>
        <w:ind w:firstLine="640"/>
        <w:rPr>
          <w:rFonts w:hint="eastAsia" w:ascii="仿宋_GB2312" w:hAnsi="仿宋_GB2312" w:cs="仿宋_GB2312"/>
          <w:sz w:val="32"/>
          <w:szCs w:val="32"/>
        </w:rPr>
      </w:pPr>
      <w:r>
        <w:rPr>
          <w:rFonts w:hint="eastAsia" w:ascii="仿宋_GB2312" w:hAnsi="仿宋_GB2312" w:cs="仿宋_GB2312"/>
          <w:sz w:val="32"/>
          <w:szCs w:val="32"/>
        </w:rPr>
        <w:t>3.项目管理情况</w:t>
      </w:r>
    </w:p>
    <w:p>
      <w:pPr>
        <w:ind w:firstLine="800" w:firstLineChars="250"/>
        <w:rPr>
          <w:rFonts w:hint="eastAsia" w:ascii="仿宋_GB2312" w:hAnsi="仿宋_GB2312" w:cs="仿宋_GB2312"/>
          <w:sz w:val="32"/>
          <w:szCs w:val="32"/>
          <w:lang w:val="zh-CN"/>
        </w:rPr>
      </w:pPr>
      <w:bookmarkStart w:id="25" w:name="_Toc3131"/>
      <w:r>
        <w:rPr>
          <w:rFonts w:hint="eastAsia" w:ascii="仿宋_GB2312" w:hAnsi="仿宋_GB2312" w:cs="仿宋_GB2312"/>
          <w:sz w:val="32"/>
          <w:szCs w:val="32"/>
          <w:lang w:val="zh-CN"/>
        </w:rPr>
        <w:t>项目主要执行《预、决算管理办法》、《合同管理办法》、《专项资金管理办法》等相关内部管理制度，其中</w:t>
      </w:r>
      <w:r>
        <w:rPr>
          <w:rFonts w:hint="eastAsia" w:ascii="仿宋_GB2312" w:hAnsi="仿宋"/>
          <w:sz w:val="32"/>
          <w:szCs w:val="32"/>
        </w:rPr>
        <w:t>项目实施方案和管理不完善。</w:t>
      </w:r>
    </w:p>
    <w:p>
      <w:pPr>
        <w:ind w:firstLine="640"/>
        <w:rPr>
          <w:rFonts w:hint="eastAsia" w:ascii="仿宋_GB2312" w:hAnsi="仿宋_GB2312" w:cs="仿宋_GB2312"/>
          <w:sz w:val="32"/>
          <w:szCs w:val="32"/>
          <w:lang w:val="zh-CN"/>
        </w:rPr>
      </w:pPr>
      <w:r>
        <w:rPr>
          <w:rFonts w:hint="eastAsia" w:ascii="仿宋_GB2312" w:hAnsi="仿宋_GB2312" w:cs="仿宋_GB2312"/>
          <w:sz w:val="32"/>
          <w:szCs w:val="32"/>
          <w:lang w:val="zh-CN"/>
        </w:rPr>
        <w:t>（三）项目产出及效果评价分析</w:t>
      </w:r>
      <w:bookmarkEnd w:id="25"/>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1.项目经济性分析</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不适用。</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2.项目效率性分析</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（1）项目的实施进度</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项目进度指标为定期向劳务派遣公司支付劳务派遣服务费，加快支出进度，合理使用资金。已于2023年9月陆续支付本年安检工作经费费用，项目完成。</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（2）项目完成质量</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安检工作经费项目经费支出，保障了人民法院审判秩序和人员安全，杜绝了影响审判执行工作的正常运行，以及危害法官、法院干警和诉讼参与人的人身财产安全等方面，依法依规对来院诉讼参与人进行安全检查事宜，保证审执工作安全有序的开展。在法警人力不足等情况下，辅助法警完成安全保卫、刑事保障、强制执行等工作。</w:t>
      </w:r>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3.项目效益性分析</w:t>
      </w:r>
    </w:p>
    <w:p>
      <w:pPr>
        <w:ind w:firstLine="566" w:firstLineChars="177"/>
        <w:rPr>
          <w:rFonts w:hint="eastAsia" w:ascii="仿宋_GB2312" w:hAnsi="仿宋_GB2312" w:cs="仿宋_GB2312"/>
          <w:kern w:val="44"/>
          <w:sz w:val="32"/>
          <w:szCs w:val="32"/>
        </w:rPr>
      </w:pPr>
      <w:r>
        <w:rPr>
          <w:rFonts w:hint="eastAsia" w:ascii="仿宋_GB2312" w:hAnsi="仿宋_GB2312" w:cs="仿宋_GB2312"/>
          <w:kern w:val="44"/>
          <w:sz w:val="32"/>
          <w:szCs w:val="32"/>
        </w:rPr>
        <w:t>（1）项目预期目标完成情况</w:t>
      </w:r>
    </w:p>
    <w:p>
      <w:pPr>
        <w:ind w:firstLine="640"/>
        <w:rPr>
          <w:rFonts w:hint="eastAsia" w:ascii="仿宋_GB2312" w:hAnsi="仿宋_GB2312" w:cs="仿宋_GB2312"/>
          <w:kern w:val="44"/>
          <w:sz w:val="32"/>
          <w:szCs w:val="32"/>
        </w:rPr>
      </w:pPr>
      <w:r>
        <w:rPr>
          <w:rFonts w:hint="eastAsia" w:ascii="仿宋_GB2312" w:hAnsi="仿宋"/>
          <w:sz w:val="32"/>
          <w:szCs w:val="32"/>
        </w:rPr>
        <w:t>通过安检工作经费实施以来，高效的保障法院工作安全、树立了法院工作的良好形象。专项经费下达后我院严格按照专项经费管理使用办法进行项目的制定与实行。</w:t>
      </w:r>
    </w:p>
    <w:p>
      <w:pPr>
        <w:ind w:firstLine="640"/>
        <w:rPr>
          <w:rFonts w:hint="eastAsia" w:ascii="仿宋_GB2312" w:hAnsi="仿宋"/>
          <w:sz w:val="32"/>
          <w:szCs w:val="32"/>
        </w:rPr>
      </w:pPr>
      <w:r>
        <w:rPr>
          <w:rFonts w:hint="eastAsia" w:ascii="仿宋_GB2312" w:hAnsi="仿宋"/>
          <w:sz w:val="32"/>
          <w:szCs w:val="32"/>
        </w:rPr>
        <w:t>（2）项目可持续影响</w:t>
      </w:r>
    </w:p>
    <w:p>
      <w:pPr>
        <w:ind w:firstLine="640"/>
        <w:rPr>
          <w:rFonts w:hint="eastAsia" w:ascii="仿宋_GB2312" w:hAnsi="仿宋"/>
          <w:sz w:val="32"/>
          <w:szCs w:val="32"/>
        </w:rPr>
      </w:pPr>
      <w:r>
        <w:rPr>
          <w:rFonts w:hint="eastAsia" w:ascii="仿宋_GB2312" w:hAnsi="仿宋"/>
          <w:sz w:val="32"/>
          <w:szCs w:val="32"/>
        </w:rPr>
        <w:t>持续保障人民法院审判秩序和人员安全。</w:t>
      </w:r>
    </w:p>
    <w:p>
      <w:pPr>
        <w:ind w:firstLine="640"/>
        <w:rPr>
          <w:rFonts w:hint="eastAsia" w:ascii="仿宋_GB2312" w:hAnsi="仿宋"/>
          <w:sz w:val="32"/>
          <w:szCs w:val="32"/>
        </w:rPr>
      </w:pPr>
      <w:r>
        <w:rPr>
          <w:rFonts w:hint="eastAsia" w:ascii="仿宋_GB2312" w:hAnsi="仿宋"/>
          <w:sz w:val="32"/>
          <w:szCs w:val="32"/>
        </w:rPr>
        <w:t>（3）服务对象满意度</w:t>
      </w:r>
    </w:p>
    <w:p>
      <w:pPr>
        <w:ind w:firstLine="640"/>
        <w:rPr>
          <w:rFonts w:hint="eastAsia" w:ascii="仿宋_GB2312" w:hAnsi="仿宋"/>
          <w:sz w:val="32"/>
          <w:szCs w:val="32"/>
        </w:rPr>
      </w:pPr>
      <w:r>
        <w:rPr>
          <w:rFonts w:hint="eastAsia" w:ascii="仿宋_GB2312" w:hAnsi="仿宋"/>
          <w:sz w:val="32"/>
          <w:szCs w:val="32"/>
        </w:rPr>
        <w:t>项目绩效目标满意度指标设定满意度指标90.00%以上。项目实际开展了两方面调查，分别是：“当事人满意度”和“干警满意度”两个方面各抽样调查30份满意度调查表进行调查。</w:t>
      </w:r>
    </w:p>
    <w:p>
      <w:pPr>
        <w:ind w:firstLine="640"/>
        <w:rPr>
          <w:rFonts w:hint="eastAsia" w:ascii="仿宋_GB2312" w:hAnsi="仿宋"/>
          <w:sz w:val="32"/>
          <w:szCs w:val="32"/>
        </w:rPr>
      </w:pPr>
      <w:r>
        <w:rPr>
          <w:rFonts w:hint="eastAsia" w:ascii="仿宋_GB2312" w:hAnsi="仿宋"/>
          <w:sz w:val="32"/>
          <w:szCs w:val="32"/>
        </w:rPr>
        <w:t xml:space="preserve"> “当事人满意度”对安检通道引导标识非常满意度100%，安检通道设置和检查速度满意及非常满意度达100%，安检员服务态度满意及非常满意度达100%。当事人满意度达到100%，完成绩效目标值。</w:t>
      </w:r>
    </w:p>
    <w:p>
      <w:pPr>
        <w:ind w:firstLine="640"/>
        <w:rPr>
          <w:rFonts w:hint="eastAsia"/>
        </w:rPr>
      </w:pPr>
      <w:r>
        <w:rPr>
          <w:rFonts w:hint="eastAsia" w:ascii="仿宋_GB2312" w:hAnsi="仿宋"/>
          <w:sz w:val="32"/>
          <w:szCs w:val="32"/>
        </w:rPr>
        <w:t xml:space="preserve"> “干警满意度”对安检通道引导标识非常满意度100%，安检通道设置和检查速度满意及非常满意度达100%，安检员服务态度满意及非常满意度达100%。干警满意度达到100%，完成绩效目标值。</w:t>
      </w:r>
    </w:p>
    <w:p>
      <w:pPr>
        <w:pStyle w:val="2"/>
        <w:ind w:left="560" w:firstLine="147" w:firstLineChars="46"/>
        <w:rPr>
          <w:rFonts w:hint="eastAsia"/>
        </w:rPr>
      </w:pPr>
      <w:bookmarkStart w:id="26" w:name="_Toc27292"/>
      <w:bookmarkStart w:id="27" w:name="_Toc13748"/>
      <w:r>
        <w:rPr>
          <w:rFonts w:hint="eastAsia"/>
        </w:rPr>
        <w:t>四、评价结论</w:t>
      </w:r>
      <w:bookmarkEnd w:id="26"/>
      <w:bookmarkEnd w:id="27"/>
    </w:p>
    <w:p>
      <w:pPr>
        <w:ind w:firstLine="640"/>
        <w:rPr>
          <w:rFonts w:hint="eastAsia" w:ascii="仿宋_GB2312"/>
          <w:sz w:val="32"/>
          <w:szCs w:val="32"/>
        </w:rPr>
      </w:pPr>
      <w:r>
        <w:rPr>
          <w:rFonts w:hint="eastAsia" w:ascii="仿宋_GB2312" w:hAnsi="仿宋_GB2312"/>
          <w:sz w:val="32"/>
        </w:rPr>
        <w:t>“安检工作经费”项目综合得分84.86分，其中：项目决策13.22分，项目管理12.74分，项目绩效58.90分，项目综合绩效级别评定结论为“良好”。</w:t>
      </w:r>
    </w:p>
    <w:p>
      <w:pPr>
        <w:pStyle w:val="2"/>
        <w:numPr>
          <w:ilvl w:val="0"/>
          <w:numId w:val="2"/>
        </w:numPr>
        <w:ind w:left="560" w:firstLine="6" w:firstLineChars="2"/>
        <w:rPr>
          <w:rFonts w:hint="eastAsia"/>
        </w:rPr>
      </w:pPr>
      <w:bookmarkStart w:id="28" w:name="_Toc22813"/>
      <w:bookmarkStart w:id="29" w:name="_Toc15184"/>
      <w:r>
        <w:rPr>
          <w:rFonts w:hint="eastAsia"/>
        </w:rPr>
        <w:t>问题</w:t>
      </w:r>
      <w:bookmarkEnd w:id="28"/>
      <w:bookmarkEnd w:id="29"/>
      <w:r>
        <w:t xml:space="preserve"> </w:t>
      </w:r>
    </w:p>
    <w:p>
      <w:pPr>
        <w:ind w:firstLine="640"/>
        <w:rPr>
          <w:rFonts w:hint="eastAsia" w:ascii="仿宋_GB2312" w:hAnsi="仿宋"/>
          <w:sz w:val="32"/>
          <w:szCs w:val="32"/>
        </w:rPr>
      </w:pPr>
      <w:r>
        <w:rPr>
          <w:rFonts w:hint="eastAsia" w:ascii="仿宋_GB2312" w:hAnsi="仿宋"/>
          <w:sz w:val="32"/>
          <w:szCs w:val="32"/>
        </w:rPr>
        <w:t>北京市怀柔区人民法院“安检工作经费”项目的实施，通过绩效评价该项目还存在以下不足：</w:t>
      </w:r>
    </w:p>
    <w:p>
      <w:pPr>
        <w:numPr>
          <w:ilvl w:val="0"/>
          <w:numId w:val="3"/>
        </w:numPr>
        <w:ind w:firstLine="640"/>
        <w:rPr>
          <w:rFonts w:ascii="仿宋_GB2312" w:hAnsi="仿宋"/>
          <w:sz w:val="32"/>
          <w:szCs w:val="32"/>
        </w:rPr>
      </w:pPr>
      <w:r>
        <w:rPr>
          <w:rFonts w:hint="eastAsia" w:ascii="仿宋_GB2312" w:hAnsi="仿宋"/>
          <w:sz w:val="32"/>
          <w:szCs w:val="32"/>
        </w:rPr>
        <w:t>决策方面</w:t>
      </w:r>
    </w:p>
    <w:p>
      <w:pPr>
        <w:ind w:firstLine="0" w:firstLineChars="0"/>
        <w:rPr>
          <w:rFonts w:ascii="仿宋_GB2312" w:hAnsi="仿宋"/>
          <w:sz w:val="32"/>
          <w:szCs w:val="32"/>
        </w:rPr>
      </w:pPr>
      <w:r>
        <w:rPr>
          <w:rFonts w:hint="eastAsia" w:ascii="仿宋_GB2312" w:hAnsi="仿宋"/>
          <w:sz w:val="32"/>
          <w:szCs w:val="32"/>
        </w:rPr>
        <w:t xml:space="preserve">    立项决策文件准备不充分、分析不透彻；绩效指标设置不够清晰；资金投入佐证材料欠缺，不能充分反应资金投入情况。</w:t>
      </w:r>
    </w:p>
    <w:p>
      <w:pPr>
        <w:numPr>
          <w:ilvl w:val="0"/>
          <w:numId w:val="3"/>
        </w:numPr>
        <w:ind w:firstLine="640"/>
        <w:rPr>
          <w:rFonts w:ascii="仿宋_GB2312" w:hAnsi="仿宋"/>
          <w:sz w:val="32"/>
          <w:szCs w:val="32"/>
        </w:rPr>
      </w:pPr>
      <w:r>
        <w:rPr>
          <w:rFonts w:hint="eastAsia" w:ascii="仿宋_GB2312" w:hAnsi="仿宋"/>
          <w:sz w:val="32"/>
          <w:szCs w:val="32"/>
        </w:rPr>
        <w:t>过程方面</w:t>
      </w:r>
    </w:p>
    <w:p>
      <w:pPr>
        <w:ind w:firstLine="640"/>
        <w:rPr>
          <w:rFonts w:ascii="仿宋_GB2312" w:hAnsi="仿宋"/>
          <w:sz w:val="32"/>
          <w:szCs w:val="32"/>
        </w:rPr>
      </w:pPr>
      <w:r>
        <w:rPr>
          <w:rFonts w:hint="eastAsia" w:ascii="仿宋_GB2312" w:hAnsi="仿宋"/>
          <w:sz w:val="32"/>
          <w:szCs w:val="32"/>
        </w:rPr>
        <w:t>资金使用中有部分标准未见文件依据；制度建设不及时；实施方案不全面；制度执行不严谨。</w:t>
      </w:r>
    </w:p>
    <w:p>
      <w:pPr>
        <w:numPr>
          <w:ilvl w:val="0"/>
          <w:numId w:val="3"/>
        </w:numPr>
        <w:ind w:firstLine="640"/>
        <w:rPr>
          <w:rFonts w:ascii="仿宋_GB2312" w:hAnsi="仿宋"/>
          <w:sz w:val="32"/>
          <w:szCs w:val="32"/>
        </w:rPr>
      </w:pPr>
      <w:r>
        <w:rPr>
          <w:rFonts w:hint="eastAsia" w:ascii="仿宋_GB2312" w:hAnsi="仿宋"/>
          <w:sz w:val="32"/>
          <w:szCs w:val="32"/>
        </w:rPr>
        <w:t>产出方面</w:t>
      </w:r>
    </w:p>
    <w:p>
      <w:pPr>
        <w:ind w:firstLine="640" w:firstLineChars="0"/>
        <w:rPr>
          <w:rFonts w:hint="eastAsia" w:ascii="仿宋_GB2312" w:hAnsi="仿宋"/>
          <w:sz w:val="32"/>
          <w:szCs w:val="32"/>
        </w:rPr>
      </w:pPr>
      <w:r>
        <w:rPr>
          <w:rFonts w:hint="eastAsia" w:ascii="仿宋_GB2312" w:hAnsi="仿宋"/>
          <w:sz w:val="32"/>
          <w:szCs w:val="32"/>
        </w:rPr>
        <w:t>产出数量指标设置不明确，报告撰写简单。</w:t>
      </w:r>
    </w:p>
    <w:p>
      <w:pPr>
        <w:numPr>
          <w:ilvl w:val="0"/>
          <w:numId w:val="3"/>
        </w:numPr>
        <w:ind w:firstLine="640"/>
        <w:rPr>
          <w:rFonts w:hint="eastAsia" w:ascii="仿宋_GB2312" w:hAnsi="仿宋"/>
          <w:sz w:val="32"/>
          <w:szCs w:val="32"/>
        </w:rPr>
      </w:pPr>
      <w:r>
        <w:rPr>
          <w:rFonts w:hint="eastAsia" w:ascii="仿宋_GB2312" w:hAnsi="仿宋"/>
          <w:sz w:val="32"/>
          <w:szCs w:val="32"/>
        </w:rPr>
        <w:t>绩效方面</w:t>
      </w:r>
    </w:p>
    <w:p>
      <w:pPr>
        <w:ind w:firstLine="640"/>
        <w:rPr>
          <w:rFonts w:ascii="仿宋_GB2312" w:hAnsi="仿宋"/>
          <w:sz w:val="32"/>
          <w:szCs w:val="32"/>
        </w:rPr>
      </w:pPr>
      <w:r>
        <w:rPr>
          <w:rFonts w:hint="eastAsia" w:ascii="仿宋_GB2312" w:hAnsi="仿宋"/>
          <w:sz w:val="32"/>
          <w:szCs w:val="32"/>
        </w:rPr>
        <w:t>效益分析不到位；满意度调查深度不足，缺乏对满意度调查结果分析，实施效果呈现不够充分。</w:t>
      </w:r>
    </w:p>
    <w:p>
      <w:pPr>
        <w:pStyle w:val="2"/>
        <w:numPr>
          <w:ilvl w:val="0"/>
          <w:numId w:val="2"/>
        </w:numPr>
        <w:ind w:left="560" w:firstLine="147" w:firstLineChars="46"/>
        <w:rPr>
          <w:rFonts w:hint="eastAsia"/>
        </w:rPr>
      </w:pPr>
      <w:bookmarkStart w:id="30" w:name="_Toc31642"/>
      <w:bookmarkStart w:id="31" w:name="_Toc26618"/>
      <w:r>
        <w:rPr>
          <w:rFonts w:hint="eastAsia"/>
        </w:rPr>
        <w:t>建议</w:t>
      </w:r>
      <w:bookmarkEnd w:id="30"/>
      <w:bookmarkEnd w:id="31"/>
    </w:p>
    <w:p>
      <w:pPr>
        <w:ind w:firstLine="640"/>
        <w:rPr>
          <w:rFonts w:hint="eastAsia" w:ascii="仿宋_GB2312" w:hAnsi="仿宋_GB2312" w:cs="仿宋_GB2312"/>
          <w:kern w:val="44"/>
          <w:sz w:val="32"/>
          <w:szCs w:val="32"/>
        </w:rPr>
      </w:pPr>
      <w:r>
        <w:rPr>
          <w:rFonts w:hint="eastAsia" w:ascii="仿宋_GB2312" w:hAnsi="仿宋_GB2312" w:cs="仿宋_GB2312"/>
          <w:kern w:val="44"/>
          <w:sz w:val="32"/>
          <w:szCs w:val="32"/>
        </w:rPr>
        <w:t>根据我们对项目情况的了解，结合专家对项目的意见和建议，对本项目的主要建议如下：</w:t>
      </w:r>
    </w:p>
    <w:p>
      <w:pPr>
        <w:ind w:left="640" w:firstLine="0" w:firstLineChars="0"/>
        <w:rPr>
          <w:rFonts w:hint="eastAsia" w:ascii="仿宋_GB2312" w:hAnsi="仿宋"/>
          <w:sz w:val="32"/>
          <w:szCs w:val="32"/>
        </w:rPr>
      </w:pPr>
      <w:r>
        <w:rPr>
          <w:rFonts w:hint="eastAsia" w:ascii="仿宋_GB2312" w:hAnsi="仿宋"/>
          <w:sz w:val="32"/>
          <w:szCs w:val="32"/>
        </w:rPr>
        <w:t>（一）加强项目决策管理</w:t>
      </w:r>
    </w:p>
    <w:p>
      <w:pPr>
        <w:widowControl/>
        <w:ind w:firstLine="800" w:firstLineChars="250"/>
        <w:rPr>
          <w:rFonts w:ascii="仿宋_GB2312" w:hAnsi="仿宋"/>
          <w:sz w:val="32"/>
          <w:szCs w:val="32"/>
        </w:rPr>
      </w:pPr>
      <w:r>
        <w:rPr>
          <w:rFonts w:hint="eastAsia" w:ascii="仿宋_GB2312" w:hAnsi="仿宋"/>
          <w:sz w:val="32"/>
          <w:szCs w:val="32"/>
        </w:rPr>
        <w:t>项目单位应深入理解财政预算绩效管理，提高对项目管理的科学性及合理性；提高决策的严谨性和科学性；进一步提高预算编制的科学性，重视绩效目标的各项指标设置。</w:t>
      </w:r>
    </w:p>
    <w:p>
      <w:pPr>
        <w:ind w:left="640" w:firstLine="0" w:firstLineChars="0"/>
        <w:rPr>
          <w:rFonts w:hint="eastAsia" w:ascii="仿宋_GB2312" w:hAnsi="仿宋"/>
          <w:sz w:val="32"/>
          <w:szCs w:val="32"/>
        </w:rPr>
      </w:pPr>
      <w:r>
        <w:rPr>
          <w:rFonts w:hint="eastAsia" w:ascii="仿宋_GB2312" w:hAnsi="仿宋"/>
          <w:sz w:val="32"/>
          <w:szCs w:val="32"/>
        </w:rPr>
        <w:t>（二）规范项目实施过程</w:t>
      </w:r>
    </w:p>
    <w:p>
      <w:pPr>
        <w:ind w:firstLine="640"/>
        <w:rPr>
          <w:rFonts w:hint="eastAsia" w:ascii="仿宋_GB2312" w:hAnsi="仿宋"/>
          <w:sz w:val="32"/>
          <w:szCs w:val="32"/>
        </w:rPr>
      </w:pPr>
      <w:r>
        <w:rPr>
          <w:rFonts w:hint="eastAsia" w:ascii="仿宋_GB2312" w:hAnsi="仿宋"/>
          <w:sz w:val="32"/>
          <w:szCs w:val="32"/>
        </w:rPr>
        <w:t>项目单位应为项目实施提供更强有力的制度支持，加强基础工作的精细化，修订和完善相关管理制度，严格内部控制的执行。项目单位应加强控制项目风险，并合理支付资金，避免财政资金使用风险。</w:t>
      </w:r>
    </w:p>
    <w:p>
      <w:pPr>
        <w:ind w:firstLine="640"/>
        <w:rPr>
          <w:rFonts w:ascii="仿宋_GB2312" w:hAnsi="仿宋"/>
          <w:sz w:val="32"/>
          <w:szCs w:val="32"/>
        </w:rPr>
      </w:pPr>
      <w:r>
        <w:rPr>
          <w:rFonts w:hint="eastAsia" w:ascii="仿宋_GB2312" w:hAnsi="仿宋"/>
          <w:sz w:val="32"/>
          <w:szCs w:val="32"/>
        </w:rPr>
        <w:t>（三）充分展示绩效产出与效益的完成情况</w:t>
      </w:r>
    </w:p>
    <w:p>
      <w:pPr>
        <w:widowControl/>
        <w:ind w:firstLine="640"/>
        <w:rPr>
          <w:rFonts w:hint="eastAsia" w:ascii="仿宋_GB2312" w:hAnsi="仿宋"/>
          <w:sz w:val="32"/>
          <w:szCs w:val="32"/>
        </w:rPr>
      </w:pPr>
      <w:r>
        <w:rPr>
          <w:rFonts w:hint="eastAsia" w:ascii="仿宋_GB2312" w:hAnsi="仿宋"/>
          <w:sz w:val="32"/>
          <w:szCs w:val="32"/>
        </w:rPr>
        <w:t>提高绩效报告撰写水平；加强满意度调查工作，通过基础问卷数据的采集，形成完整的满意度调查报告，以更好的体现项目实施的满意度情况。</w:t>
      </w:r>
    </w:p>
    <w:p>
      <w:pPr>
        <w:pStyle w:val="2"/>
        <w:ind w:left="560" w:firstLine="147" w:firstLineChars="46"/>
      </w:pPr>
      <w:bookmarkStart w:id="32" w:name="_Toc26969"/>
      <w:bookmarkStart w:id="33" w:name="_Toc21295"/>
      <w:r>
        <w:rPr>
          <w:rFonts w:hint="eastAsia"/>
        </w:rPr>
        <w:t>七、附件</w:t>
      </w:r>
      <w:bookmarkEnd w:id="32"/>
      <w:bookmarkEnd w:id="33"/>
    </w:p>
    <w:p>
      <w:pPr>
        <w:ind w:firstLine="640"/>
        <w:rPr>
          <w:rFonts w:hint="eastAsia" w:ascii="仿宋_GB2312" w:hAnsi="仿宋_GB2312"/>
          <w:sz w:val="32"/>
        </w:rPr>
      </w:pPr>
      <w:r>
        <w:rPr>
          <w:rFonts w:ascii="仿宋_GB2312" w:hAnsi="仿宋_GB2312"/>
          <w:sz w:val="32"/>
        </w:rPr>
        <w:t>1.</w:t>
      </w:r>
      <w:r>
        <w:rPr>
          <w:rFonts w:hint="eastAsia" w:ascii="仿宋_GB2312" w:hAnsi="仿宋_GB2312"/>
          <w:sz w:val="32"/>
        </w:rPr>
        <w:t>项目预算执行情况表</w:t>
      </w:r>
    </w:p>
    <w:p>
      <w:pPr>
        <w:ind w:firstLine="640"/>
        <w:rPr>
          <w:rFonts w:ascii="仿宋_GB2312" w:hAnsi="仿宋_GB2312"/>
          <w:sz w:val="32"/>
        </w:rPr>
      </w:pPr>
      <w:r>
        <w:rPr>
          <w:rFonts w:hint="eastAsia" w:ascii="仿宋_GB2312" w:hAnsi="仿宋_GB2312"/>
          <w:sz w:val="32"/>
        </w:rPr>
        <w:t>2</w:t>
      </w:r>
      <w:r>
        <w:rPr>
          <w:rFonts w:ascii="仿宋_GB2312" w:hAnsi="仿宋_GB2312"/>
          <w:sz w:val="32"/>
        </w:rPr>
        <w:t>.</w:t>
      </w:r>
      <w:r>
        <w:rPr>
          <w:rFonts w:hint="eastAsia" w:ascii="仿宋_GB2312" w:hAnsi="仿宋_GB2312"/>
          <w:sz w:val="32"/>
        </w:rPr>
        <w:t>项目绩效目标完成情况及收支明细表</w:t>
      </w:r>
    </w:p>
    <w:p>
      <w:pPr>
        <w:ind w:firstLine="640"/>
        <w:rPr>
          <w:rFonts w:ascii="仿宋_GB2312" w:hAnsi="仿宋_GB2312"/>
          <w:sz w:val="32"/>
        </w:rPr>
      </w:pPr>
      <w:r>
        <w:rPr>
          <w:rFonts w:hint="eastAsia" w:ascii="仿宋_GB2312" w:hAnsi="仿宋_GB2312"/>
          <w:sz w:val="32"/>
        </w:rPr>
        <w:t>3</w:t>
      </w:r>
      <w:r>
        <w:rPr>
          <w:rFonts w:ascii="仿宋_GB2312" w:hAnsi="仿宋_GB2312"/>
          <w:sz w:val="32"/>
        </w:rPr>
        <w:t>.</w:t>
      </w:r>
      <w:r>
        <w:rPr>
          <w:rFonts w:hint="eastAsia" w:ascii="仿宋_GB2312" w:hAnsi="仿宋_GB2312"/>
          <w:sz w:val="32"/>
        </w:rPr>
        <w:t>专家及评价工作组情况表</w:t>
      </w:r>
    </w:p>
    <w:p>
      <w:pPr>
        <w:ind w:firstLine="640"/>
        <w:rPr>
          <w:rFonts w:ascii="仿宋_GB2312" w:hAnsi="仿宋_GB2312"/>
          <w:sz w:val="32"/>
        </w:rPr>
      </w:pPr>
      <w:r>
        <w:rPr>
          <w:rFonts w:hint="eastAsia" w:ascii="仿宋_GB2312" w:hAnsi="仿宋_GB2312"/>
          <w:sz w:val="32"/>
        </w:rPr>
        <w:t>4</w:t>
      </w:r>
      <w:r>
        <w:rPr>
          <w:rFonts w:ascii="仿宋_GB2312" w:hAnsi="仿宋_GB2312"/>
          <w:sz w:val="32"/>
        </w:rPr>
        <w:t>.</w:t>
      </w:r>
      <w:r>
        <w:rPr>
          <w:rFonts w:hint="eastAsia" w:ascii="仿宋_GB2312" w:hAnsi="仿宋_GB2312"/>
          <w:sz w:val="32"/>
        </w:rPr>
        <w:t>专家意见汇总书</w:t>
      </w:r>
    </w:p>
    <w:p>
      <w:pPr>
        <w:ind w:firstLine="640"/>
        <w:rPr>
          <w:rFonts w:ascii="仿宋_GB2312" w:hAnsi="仿宋_GB2312"/>
          <w:sz w:val="32"/>
        </w:rPr>
      </w:pPr>
      <w:r>
        <w:rPr>
          <w:rFonts w:hint="eastAsia" w:ascii="仿宋_GB2312" w:hAnsi="仿宋_GB2312"/>
          <w:sz w:val="32"/>
        </w:rPr>
        <w:t>5</w:t>
      </w:r>
      <w:r>
        <w:rPr>
          <w:rFonts w:ascii="仿宋_GB2312" w:hAnsi="仿宋_GB2312"/>
          <w:sz w:val="32"/>
        </w:rPr>
        <w:t>.</w:t>
      </w:r>
      <w:r>
        <w:rPr>
          <w:rFonts w:hint="eastAsia" w:ascii="仿宋_GB2312" w:hAnsi="仿宋_GB2312"/>
          <w:sz w:val="32"/>
        </w:rPr>
        <w:t>指标体系及打分情况表</w:t>
      </w:r>
    </w:p>
    <w:p>
      <w:pPr>
        <w:ind w:firstLine="640"/>
        <w:rPr>
          <w:rFonts w:ascii="仿宋_GB2312" w:hAnsi="仿宋_GB2312"/>
          <w:sz w:val="32"/>
        </w:rPr>
      </w:pPr>
      <w:r>
        <w:rPr>
          <w:rFonts w:hint="eastAsia" w:ascii="仿宋_GB2312" w:hAnsi="仿宋_GB2312"/>
          <w:sz w:val="32"/>
        </w:rPr>
        <w:t>6</w:t>
      </w:r>
      <w:r>
        <w:rPr>
          <w:rFonts w:ascii="仿宋_GB2312" w:hAnsi="仿宋_GB2312"/>
          <w:sz w:val="32"/>
        </w:rPr>
        <w:t>.</w:t>
      </w:r>
      <w:r>
        <w:rPr>
          <w:rFonts w:hint="eastAsia" w:ascii="仿宋_GB2312" w:hAnsi="仿宋_GB2312"/>
          <w:sz w:val="32"/>
        </w:rPr>
        <w:t>反映绩效的相关图片（扉页位置）</w:t>
      </w:r>
    </w:p>
    <w:p>
      <w:pPr>
        <w:ind w:firstLine="640"/>
        <w:rPr>
          <w:rFonts w:ascii="仿宋_GB2312" w:hAnsi="仿宋_GB2312" w:cs="仿宋_GB2312"/>
          <w:color w:val="0070C0"/>
          <w:szCs w:val="28"/>
        </w:rPr>
      </w:pPr>
      <w:r>
        <w:rPr>
          <w:rFonts w:hint="eastAsia" w:ascii="仿宋_GB2312" w:hAnsi="仿宋_GB2312" w:cs="仿宋_GB2312"/>
          <w:sz w:val="32"/>
          <w:szCs w:val="32"/>
        </w:rPr>
        <w:t>7.绩效评价结果意见反馈表</w:t>
      </w:r>
    </w:p>
    <w:sectPr>
      <w:footerReference r:id="rId12" w:type="default"/>
      <w:pgSz w:w="11906" w:h="16838"/>
      <w:pgMar w:top="1440" w:right="1800" w:bottom="1440" w:left="1800"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w:pict>
        <v:shape id="文本框 3" o:spid="_x0000_s2057" o:spt="202" type="#_x0000_t202" style="position:absolute;left:0pt;margin-top:0pt;height:10.35pt;width:9.05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ind w:firstLine="0" w:firstLineChars="0"/>
                  <w:rPr>
                    <w:rFonts w:hint="eastAsia"/>
                    <w:sz w:val="18"/>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w:pict>
        <v:shape id="_x0000_s2070" o:spid="_x0000_s207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pStyle w:val="8"/>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1</w:t>
                </w:r>
                <w:r>
                  <w:rPr>
                    <w:rFonts w:hint="eastAsia"/>
                  </w:rPr>
                  <w:fldChar w:fldCharType="end"/>
                </w:r>
              </w:p>
            </w:txbxContent>
          </v:textbox>
        </v:shape>
      </w:pict>
    </w:r>
    <w:r>
      <w:pict>
        <v:shape id="_x0000_s2071" o:spid="_x0000_s2071" o:spt="202" type="#_x0000_t202" style="position:absolute;left:0pt;margin-top:0pt;height:10.35pt;width:9.05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snapToGrid w:val="0"/>
                  <w:ind w:firstLine="0" w:firstLineChars="0"/>
                  <w:rPr>
                    <w:rFonts w:hint="eastAsia"/>
                    <w:sz w:val="18"/>
                  </w:rPr>
                </w:pP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w:pict>
        <v:shape id="_x0000_s2068" o:spid="_x0000_s206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8"/>
                  <w:ind w:firstLine="360"/>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val="en-US" w:eastAsia="zh-CN"/>
                  </w:rPr>
                  <w:t>2</w:t>
                </w:r>
                <w:r>
                  <w:rPr>
                    <w:rFonts w:hint="eastAsia"/>
                  </w:rPr>
                  <w:fldChar w:fldCharType="end"/>
                </w:r>
              </w:p>
            </w:txbxContent>
          </v:textbox>
        </v:shape>
      </w:pict>
    </w:r>
    <w:r>
      <w:pict>
        <v:shape id="_x0000_s2069" o:spid="_x0000_s2069" o:spt="202" type="#_x0000_t202" style="position:absolute;left:0pt;margin-top:0pt;height:10.35pt;width:9.05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ind w:firstLine="0" w:firstLineChars="0"/>
                  <w:rPr>
                    <w:rFonts w:hint="eastAsia"/>
                    <w:sz w:val="18"/>
                  </w:rPr>
                </w:pP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936585"/>
    <w:multiLevelType w:val="singleLevel"/>
    <w:tmpl w:val="03936585"/>
    <w:lvl w:ilvl="0" w:tentative="0">
      <w:start w:val="1"/>
      <w:numFmt w:val="decimal"/>
      <w:suff w:val="nothing"/>
      <w:lvlText w:val="（%1）"/>
      <w:lvlJc w:val="left"/>
    </w:lvl>
  </w:abstractNum>
  <w:abstractNum w:abstractNumId="1">
    <w:nsid w:val="2DFFEA23"/>
    <w:multiLevelType w:val="singleLevel"/>
    <w:tmpl w:val="2DFFEA23"/>
    <w:lvl w:ilvl="0" w:tentative="0">
      <w:start w:val="1"/>
      <w:numFmt w:val="chineseCounting"/>
      <w:suff w:val="nothing"/>
      <w:lvlText w:val="（%1）"/>
      <w:lvlJc w:val="left"/>
      <w:pPr>
        <w:ind w:left="-80"/>
      </w:pPr>
      <w:rPr>
        <w:rFonts w:hint="eastAsia"/>
      </w:rPr>
    </w:lvl>
  </w:abstractNum>
  <w:abstractNum w:abstractNumId="2">
    <w:nsid w:val="59ACB453"/>
    <w:multiLevelType w:val="singleLevel"/>
    <w:tmpl w:val="59ACB453"/>
    <w:lvl w:ilvl="0" w:tentative="0">
      <w:start w:val="5"/>
      <w:numFmt w:val="chineseCounting"/>
      <w:suff w:val="nothing"/>
      <w:lvlText w:val="%1、"/>
      <w:lvlJc w:val="left"/>
      <w:rPr>
        <w:rFonts w:hint="eastAsia" w:ascii="黑体" w:hAnsi="黑体" w:eastAsia="黑体"/>
        <w:b w:val="0"/>
        <w:bCs w:val="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documentProtection w:enforcement="0"/>
  <w:defaultTabStop w:val="420"/>
  <w:drawingGridVerticalSpacing w:val="156"/>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GZhMGU0NTQ0MGI1M2ZhNzhjMWE1ZWU2YzUwY2I2MzEifQ=="/>
  </w:docVars>
  <w:rsids>
    <w:rsidRoot w:val="002A4A98"/>
    <w:rsid w:val="00005F6B"/>
    <w:rsid w:val="00007DCE"/>
    <w:rsid w:val="00007E00"/>
    <w:rsid w:val="00010B34"/>
    <w:rsid w:val="00013DE1"/>
    <w:rsid w:val="0001494A"/>
    <w:rsid w:val="00015255"/>
    <w:rsid w:val="00017063"/>
    <w:rsid w:val="00021A5A"/>
    <w:rsid w:val="0002796E"/>
    <w:rsid w:val="0003544A"/>
    <w:rsid w:val="000359C4"/>
    <w:rsid w:val="00036973"/>
    <w:rsid w:val="00040CB6"/>
    <w:rsid w:val="000479A4"/>
    <w:rsid w:val="00056025"/>
    <w:rsid w:val="00056AF5"/>
    <w:rsid w:val="000628E2"/>
    <w:rsid w:val="000720CA"/>
    <w:rsid w:val="00085463"/>
    <w:rsid w:val="000900AB"/>
    <w:rsid w:val="0009422A"/>
    <w:rsid w:val="000A60CE"/>
    <w:rsid w:val="000B0C1C"/>
    <w:rsid w:val="000B782B"/>
    <w:rsid w:val="000C23AC"/>
    <w:rsid w:val="000C2C9B"/>
    <w:rsid w:val="000C30BF"/>
    <w:rsid w:val="000D02DE"/>
    <w:rsid w:val="000D6BF4"/>
    <w:rsid w:val="000E248D"/>
    <w:rsid w:val="000F094C"/>
    <w:rsid w:val="00100E81"/>
    <w:rsid w:val="00101ACD"/>
    <w:rsid w:val="00110406"/>
    <w:rsid w:val="00125408"/>
    <w:rsid w:val="00125650"/>
    <w:rsid w:val="001411A7"/>
    <w:rsid w:val="00142A71"/>
    <w:rsid w:val="001444BE"/>
    <w:rsid w:val="00147823"/>
    <w:rsid w:val="001501FD"/>
    <w:rsid w:val="00151A51"/>
    <w:rsid w:val="00153D41"/>
    <w:rsid w:val="001546AF"/>
    <w:rsid w:val="0016393F"/>
    <w:rsid w:val="001659A8"/>
    <w:rsid w:val="00166921"/>
    <w:rsid w:val="00170D95"/>
    <w:rsid w:val="00172DD1"/>
    <w:rsid w:val="00176017"/>
    <w:rsid w:val="00185780"/>
    <w:rsid w:val="00196157"/>
    <w:rsid w:val="001A67E1"/>
    <w:rsid w:val="001A6AA9"/>
    <w:rsid w:val="001B2845"/>
    <w:rsid w:val="001B3125"/>
    <w:rsid w:val="001B7770"/>
    <w:rsid w:val="001C1557"/>
    <w:rsid w:val="001C3BCD"/>
    <w:rsid w:val="001C4B05"/>
    <w:rsid w:val="001C5099"/>
    <w:rsid w:val="001C6990"/>
    <w:rsid w:val="001C74AE"/>
    <w:rsid w:val="001F03E2"/>
    <w:rsid w:val="001F14C8"/>
    <w:rsid w:val="001F2669"/>
    <w:rsid w:val="00201B5B"/>
    <w:rsid w:val="00211326"/>
    <w:rsid w:val="00215C10"/>
    <w:rsid w:val="002210B4"/>
    <w:rsid w:val="0022709A"/>
    <w:rsid w:val="00237EF6"/>
    <w:rsid w:val="00241402"/>
    <w:rsid w:val="00244A11"/>
    <w:rsid w:val="002458C2"/>
    <w:rsid w:val="002509C8"/>
    <w:rsid w:val="00252B73"/>
    <w:rsid w:val="00254BFB"/>
    <w:rsid w:val="00257395"/>
    <w:rsid w:val="0026348F"/>
    <w:rsid w:val="00266684"/>
    <w:rsid w:val="002722FD"/>
    <w:rsid w:val="00291755"/>
    <w:rsid w:val="002926D5"/>
    <w:rsid w:val="00297021"/>
    <w:rsid w:val="002A4A98"/>
    <w:rsid w:val="002B0333"/>
    <w:rsid w:val="002B1457"/>
    <w:rsid w:val="002B21B8"/>
    <w:rsid w:val="002B3E10"/>
    <w:rsid w:val="002C708D"/>
    <w:rsid w:val="002E06D0"/>
    <w:rsid w:val="002E1545"/>
    <w:rsid w:val="002E37F7"/>
    <w:rsid w:val="002E440B"/>
    <w:rsid w:val="002E55F5"/>
    <w:rsid w:val="002E6413"/>
    <w:rsid w:val="002F0BE9"/>
    <w:rsid w:val="002F1756"/>
    <w:rsid w:val="002F3073"/>
    <w:rsid w:val="00303A1B"/>
    <w:rsid w:val="00305BF8"/>
    <w:rsid w:val="00305F9B"/>
    <w:rsid w:val="003110AC"/>
    <w:rsid w:val="00316619"/>
    <w:rsid w:val="00320FEF"/>
    <w:rsid w:val="00332F8D"/>
    <w:rsid w:val="003345DD"/>
    <w:rsid w:val="003409C7"/>
    <w:rsid w:val="00342A27"/>
    <w:rsid w:val="00345692"/>
    <w:rsid w:val="00346BF7"/>
    <w:rsid w:val="00347FB7"/>
    <w:rsid w:val="0035762E"/>
    <w:rsid w:val="00360927"/>
    <w:rsid w:val="00366522"/>
    <w:rsid w:val="00373AE7"/>
    <w:rsid w:val="0037507F"/>
    <w:rsid w:val="00375719"/>
    <w:rsid w:val="00376954"/>
    <w:rsid w:val="00384899"/>
    <w:rsid w:val="00390964"/>
    <w:rsid w:val="0039742A"/>
    <w:rsid w:val="003A6361"/>
    <w:rsid w:val="003B5191"/>
    <w:rsid w:val="003B6D4B"/>
    <w:rsid w:val="003C1E32"/>
    <w:rsid w:val="003C71D3"/>
    <w:rsid w:val="003D76EB"/>
    <w:rsid w:val="003E25B7"/>
    <w:rsid w:val="00404A9C"/>
    <w:rsid w:val="00407C8B"/>
    <w:rsid w:val="00421F16"/>
    <w:rsid w:val="0042325A"/>
    <w:rsid w:val="0043243A"/>
    <w:rsid w:val="00444D08"/>
    <w:rsid w:val="00445AC5"/>
    <w:rsid w:val="004560C6"/>
    <w:rsid w:val="004568D5"/>
    <w:rsid w:val="0045773D"/>
    <w:rsid w:val="00476042"/>
    <w:rsid w:val="00485C0C"/>
    <w:rsid w:val="0048758F"/>
    <w:rsid w:val="00487FD4"/>
    <w:rsid w:val="0049151E"/>
    <w:rsid w:val="00494265"/>
    <w:rsid w:val="004A35E2"/>
    <w:rsid w:val="004B3722"/>
    <w:rsid w:val="004C79E4"/>
    <w:rsid w:val="004D1B0E"/>
    <w:rsid w:val="004D39C8"/>
    <w:rsid w:val="004E3C23"/>
    <w:rsid w:val="004E56C3"/>
    <w:rsid w:val="004E6F18"/>
    <w:rsid w:val="00503D49"/>
    <w:rsid w:val="0050640B"/>
    <w:rsid w:val="00511CAC"/>
    <w:rsid w:val="0051629D"/>
    <w:rsid w:val="00521857"/>
    <w:rsid w:val="00521E2B"/>
    <w:rsid w:val="00534BD8"/>
    <w:rsid w:val="0054378B"/>
    <w:rsid w:val="00544DB6"/>
    <w:rsid w:val="00547B48"/>
    <w:rsid w:val="005546AB"/>
    <w:rsid w:val="005622B2"/>
    <w:rsid w:val="0056516E"/>
    <w:rsid w:val="00565DC2"/>
    <w:rsid w:val="00567F53"/>
    <w:rsid w:val="0057032E"/>
    <w:rsid w:val="005745ED"/>
    <w:rsid w:val="005855D7"/>
    <w:rsid w:val="00594415"/>
    <w:rsid w:val="0059451D"/>
    <w:rsid w:val="00595B7D"/>
    <w:rsid w:val="00596D28"/>
    <w:rsid w:val="005B29D5"/>
    <w:rsid w:val="005B59A2"/>
    <w:rsid w:val="005B7398"/>
    <w:rsid w:val="005C5275"/>
    <w:rsid w:val="005C724A"/>
    <w:rsid w:val="005E18B8"/>
    <w:rsid w:val="005F284F"/>
    <w:rsid w:val="00603CD2"/>
    <w:rsid w:val="006066F6"/>
    <w:rsid w:val="006069AC"/>
    <w:rsid w:val="00606F6C"/>
    <w:rsid w:val="00611C04"/>
    <w:rsid w:val="0061342C"/>
    <w:rsid w:val="006231EA"/>
    <w:rsid w:val="00627AB3"/>
    <w:rsid w:val="00635C5B"/>
    <w:rsid w:val="00637D99"/>
    <w:rsid w:val="00640628"/>
    <w:rsid w:val="006442ED"/>
    <w:rsid w:val="00645A0D"/>
    <w:rsid w:val="00647523"/>
    <w:rsid w:val="0065186C"/>
    <w:rsid w:val="00653F08"/>
    <w:rsid w:val="0066594A"/>
    <w:rsid w:val="00667B30"/>
    <w:rsid w:val="00673B77"/>
    <w:rsid w:val="006862C7"/>
    <w:rsid w:val="006921A4"/>
    <w:rsid w:val="006953F9"/>
    <w:rsid w:val="00696BFD"/>
    <w:rsid w:val="00697359"/>
    <w:rsid w:val="006A1DFB"/>
    <w:rsid w:val="006B101F"/>
    <w:rsid w:val="006B2F3B"/>
    <w:rsid w:val="006B3386"/>
    <w:rsid w:val="006C1E65"/>
    <w:rsid w:val="006C2184"/>
    <w:rsid w:val="006C3037"/>
    <w:rsid w:val="006C4957"/>
    <w:rsid w:val="006D4E76"/>
    <w:rsid w:val="006D52FE"/>
    <w:rsid w:val="006E15EC"/>
    <w:rsid w:val="006E21D5"/>
    <w:rsid w:val="006E7261"/>
    <w:rsid w:val="006F2692"/>
    <w:rsid w:val="006F460A"/>
    <w:rsid w:val="006F4E61"/>
    <w:rsid w:val="006F5324"/>
    <w:rsid w:val="006F65E7"/>
    <w:rsid w:val="006F7C38"/>
    <w:rsid w:val="007020F6"/>
    <w:rsid w:val="00705F97"/>
    <w:rsid w:val="007161B8"/>
    <w:rsid w:val="00717543"/>
    <w:rsid w:val="00720762"/>
    <w:rsid w:val="00724561"/>
    <w:rsid w:val="00724848"/>
    <w:rsid w:val="007272EF"/>
    <w:rsid w:val="00747C79"/>
    <w:rsid w:val="0075251A"/>
    <w:rsid w:val="00753140"/>
    <w:rsid w:val="00753B82"/>
    <w:rsid w:val="00756074"/>
    <w:rsid w:val="00765946"/>
    <w:rsid w:val="00766D59"/>
    <w:rsid w:val="00777B28"/>
    <w:rsid w:val="00785E13"/>
    <w:rsid w:val="007B5FBF"/>
    <w:rsid w:val="007B7CA0"/>
    <w:rsid w:val="007D3A2B"/>
    <w:rsid w:val="007D5949"/>
    <w:rsid w:val="007E467B"/>
    <w:rsid w:val="007E4C01"/>
    <w:rsid w:val="007E690D"/>
    <w:rsid w:val="0080077A"/>
    <w:rsid w:val="00800A19"/>
    <w:rsid w:val="00815345"/>
    <w:rsid w:val="00823548"/>
    <w:rsid w:val="0083518A"/>
    <w:rsid w:val="008358A7"/>
    <w:rsid w:val="008404FC"/>
    <w:rsid w:val="00844C2B"/>
    <w:rsid w:val="00844D71"/>
    <w:rsid w:val="00846FE0"/>
    <w:rsid w:val="008646E3"/>
    <w:rsid w:val="00872BB4"/>
    <w:rsid w:val="00877F86"/>
    <w:rsid w:val="00893CF6"/>
    <w:rsid w:val="008954F0"/>
    <w:rsid w:val="00897364"/>
    <w:rsid w:val="008A02E0"/>
    <w:rsid w:val="008A3056"/>
    <w:rsid w:val="008A57F5"/>
    <w:rsid w:val="008B06B0"/>
    <w:rsid w:val="008B2C22"/>
    <w:rsid w:val="008B6195"/>
    <w:rsid w:val="008C0206"/>
    <w:rsid w:val="008C241A"/>
    <w:rsid w:val="008D2C98"/>
    <w:rsid w:val="008F226A"/>
    <w:rsid w:val="008F2C1A"/>
    <w:rsid w:val="008F44A1"/>
    <w:rsid w:val="00901E56"/>
    <w:rsid w:val="00903D5D"/>
    <w:rsid w:val="0090777A"/>
    <w:rsid w:val="00911A2B"/>
    <w:rsid w:val="00915277"/>
    <w:rsid w:val="00915A3C"/>
    <w:rsid w:val="00927B78"/>
    <w:rsid w:val="00927C7A"/>
    <w:rsid w:val="00927DED"/>
    <w:rsid w:val="00932185"/>
    <w:rsid w:val="009334E9"/>
    <w:rsid w:val="00945972"/>
    <w:rsid w:val="0094648F"/>
    <w:rsid w:val="0095094D"/>
    <w:rsid w:val="0095366E"/>
    <w:rsid w:val="00955523"/>
    <w:rsid w:val="00961793"/>
    <w:rsid w:val="009666C8"/>
    <w:rsid w:val="0098160C"/>
    <w:rsid w:val="009841D6"/>
    <w:rsid w:val="00985312"/>
    <w:rsid w:val="00990F06"/>
    <w:rsid w:val="00991594"/>
    <w:rsid w:val="00997421"/>
    <w:rsid w:val="009A3936"/>
    <w:rsid w:val="009A7AA4"/>
    <w:rsid w:val="009B7401"/>
    <w:rsid w:val="009C01A9"/>
    <w:rsid w:val="009C0890"/>
    <w:rsid w:val="009C0AAD"/>
    <w:rsid w:val="009C5E9C"/>
    <w:rsid w:val="009C68FA"/>
    <w:rsid w:val="009D13A1"/>
    <w:rsid w:val="009E079E"/>
    <w:rsid w:val="009E1585"/>
    <w:rsid w:val="009E58D4"/>
    <w:rsid w:val="009F2264"/>
    <w:rsid w:val="009F27CB"/>
    <w:rsid w:val="00A0300F"/>
    <w:rsid w:val="00A152D4"/>
    <w:rsid w:val="00A246EA"/>
    <w:rsid w:val="00A27484"/>
    <w:rsid w:val="00A300DB"/>
    <w:rsid w:val="00A300EF"/>
    <w:rsid w:val="00A30E6E"/>
    <w:rsid w:val="00A326A1"/>
    <w:rsid w:val="00A328D9"/>
    <w:rsid w:val="00A3524C"/>
    <w:rsid w:val="00A42274"/>
    <w:rsid w:val="00A452E4"/>
    <w:rsid w:val="00A47AF9"/>
    <w:rsid w:val="00A47F0E"/>
    <w:rsid w:val="00A5079D"/>
    <w:rsid w:val="00A522E1"/>
    <w:rsid w:val="00A52C08"/>
    <w:rsid w:val="00A53B36"/>
    <w:rsid w:val="00A579E1"/>
    <w:rsid w:val="00A6229F"/>
    <w:rsid w:val="00A6678F"/>
    <w:rsid w:val="00A67024"/>
    <w:rsid w:val="00A7288B"/>
    <w:rsid w:val="00A74842"/>
    <w:rsid w:val="00A7781E"/>
    <w:rsid w:val="00A839B3"/>
    <w:rsid w:val="00AA48F1"/>
    <w:rsid w:val="00AA5E9C"/>
    <w:rsid w:val="00AB1FFC"/>
    <w:rsid w:val="00AC05CD"/>
    <w:rsid w:val="00AC1B74"/>
    <w:rsid w:val="00AC209D"/>
    <w:rsid w:val="00AC4499"/>
    <w:rsid w:val="00AC7105"/>
    <w:rsid w:val="00AE0D57"/>
    <w:rsid w:val="00AE5603"/>
    <w:rsid w:val="00AE7EB6"/>
    <w:rsid w:val="00AF0187"/>
    <w:rsid w:val="00AF5BEA"/>
    <w:rsid w:val="00B026B1"/>
    <w:rsid w:val="00B142D7"/>
    <w:rsid w:val="00B1749A"/>
    <w:rsid w:val="00B1799F"/>
    <w:rsid w:val="00B258F3"/>
    <w:rsid w:val="00B43428"/>
    <w:rsid w:val="00B4500B"/>
    <w:rsid w:val="00B46E13"/>
    <w:rsid w:val="00B52BCA"/>
    <w:rsid w:val="00B54425"/>
    <w:rsid w:val="00B545EA"/>
    <w:rsid w:val="00B6025F"/>
    <w:rsid w:val="00B66633"/>
    <w:rsid w:val="00B72F4E"/>
    <w:rsid w:val="00B73695"/>
    <w:rsid w:val="00B7529A"/>
    <w:rsid w:val="00B8064A"/>
    <w:rsid w:val="00B82F04"/>
    <w:rsid w:val="00B86D74"/>
    <w:rsid w:val="00B93DCB"/>
    <w:rsid w:val="00BB1CFB"/>
    <w:rsid w:val="00BB20B9"/>
    <w:rsid w:val="00BB5B1A"/>
    <w:rsid w:val="00BB79EE"/>
    <w:rsid w:val="00BC5403"/>
    <w:rsid w:val="00BC6912"/>
    <w:rsid w:val="00BE5250"/>
    <w:rsid w:val="00BF142D"/>
    <w:rsid w:val="00C17DF9"/>
    <w:rsid w:val="00C20CD8"/>
    <w:rsid w:val="00C2123B"/>
    <w:rsid w:val="00C22067"/>
    <w:rsid w:val="00C27577"/>
    <w:rsid w:val="00C279A7"/>
    <w:rsid w:val="00C32FEC"/>
    <w:rsid w:val="00C35263"/>
    <w:rsid w:val="00C363CE"/>
    <w:rsid w:val="00C4067B"/>
    <w:rsid w:val="00C47072"/>
    <w:rsid w:val="00C51E0B"/>
    <w:rsid w:val="00C56840"/>
    <w:rsid w:val="00C56A88"/>
    <w:rsid w:val="00C7253A"/>
    <w:rsid w:val="00C75E71"/>
    <w:rsid w:val="00C80EFD"/>
    <w:rsid w:val="00C811B4"/>
    <w:rsid w:val="00C83549"/>
    <w:rsid w:val="00C90070"/>
    <w:rsid w:val="00C96E45"/>
    <w:rsid w:val="00CA72E3"/>
    <w:rsid w:val="00CB159D"/>
    <w:rsid w:val="00CB59F0"/>
    <w:rsid w:val="00CB624E"/>
    <w:rsid w:val="00CB6E07"/>
    <w:rsid w:val="00CC17A3"/>
    <w:rsid w:val="00CC5D46"/>
    <w:rsid w:val="00CD2C7F"/>
    <w:rsid w:val="00CE2FDD"/>
    <w:rsid w:val="00CE3ED7"/>
    <w:rsid w:val="00CE6B8D"/>
    <w:rsid w:val="00CE6F20"/>
    <w:rsid w:val="00CF0A20"/>
    <w:rsid w:val="00CF0FEA"/>
    <w:rsid w:val="00CF4CD0"/>
    <w:rsid w:val="00CF68AF"/>
    <w:rsid w:val="00D0604F"/>
    <w:rsid w:val="00D1784E"/>
    <w:rsid w:val="00D4232B"/>
    <w:rsid w:val="00D53B8C"/>
    <w:rsid w:val="00D545D0"/>
    <w:rsid w:val="00D57989"/>
    <w:rsid w:val="00D65910"/>
    <w:rsid w:val="00D72C06"/>
    <w:rsid w:val="00D86376"/>
    <w:rsid w:val="00D8659D"/>
    <w:rsid w:val="00D86F89"/>
    <w:rsid w:val="00D872EE"/>
    <w:rsid w:val="00D876E1"/>
    <w:rsid w:val="00D96970"/>
    <w:rsid w:val="00DA7D94"/>
    <w:rsid w:val="00DB18E6"/>
    <w:rsid w:val="00DB73E3"/>
    <w:rsid w:val="00DC6962"/>
    <w:rsid w:val="00DC704B"/>
    <w:rsid w:val="00DD3669"/>
    <w:rsid w:val="00DD3FAB"/>
    <w:rsid w:val="00DD51E2"/>
    <w:rsid w:val="00DE3AD5"/>
    <w:rsid w:val="00DE438C"/>
    <w:rsid w:val="00DF0641"/>
    <w:rsid w:val="00DF0800"/>
    <w:rsid w:val="00DF3D33"/>
    <w:rsid w:val="00DF4521"/>
    <w:rsid w:val="00DF72C0"/>
    <w:rsid w:val="00E03CCD"/>
    <w:rsid w:val="00E07531"/>
    <w:rsid w:val="00E10BB5"/>
    <w:rsid w:val="00E167B3"/>
    <w:rsid w:val="00E21203"/>
    <w:rsid w:val="00E2125E"/>
    <w:rsid w:val="00E3064E"/>
    <w:rsid w:val="00E31AED"/>
    <w:rsid w:val="00E31FDD"/>
    <w:rsid w:val="00E338F3"/>
    <w:rsid w:val="00E37644"/>
    <w:rsid w:val="00E40965"/>
    <w:rsid w:val="00E41FA9"/>
    <w:rsid w:val="00E442DE"/>
    <w:rsid w:val="00E5595C"/>
    <w:rsid w:val="00E73A29"/>
    <w:rsid w:val="00E75C74"/>
    <w:rsid w:val="00E8568D"/>
    <w:rsid w:val="00EA61EB"/>
    <w:rsid w:val="00EB1FF2"/>
    <w:rsid w:val="00EB5951"/>
    <w:rsid w:val="00EB7681"/>
    <w:rsid w:val="00EC1721"/>
    <w:rsid w:val="00ED67D6"/>
    <w:rsid w:val="00EE4201"/>
    <w:rsid w:val="00EE76C7"/>
    <w:rsid w:val="00EF17FE"/>
    <w:rsid w:val="00EF5B54"/>
    <w:rsid w:val="00EF63D1"/>
    <w:rsid w:val="00EF65BB"/>
    <w:rsid w:val="00EF7D17"/>
    <w:rsid w:val="00F012C4"/>
    <w:rsid w:val="00F027EE"/>
    <w:rsid w:val="00F06350"/>
    <w:rsid w:val="00F10AF3"/>
    <w:rsid w:val="00F10BED"/>
    <w:rsid w:val="00F1270A"/>
    <w:rsid w:val="00F12FA9"/>
    <w:rsid w:val="00F1427D"/>
    <w:rsid w:val="00F21206"/>
    <w:rsid w:val="00F237AE"/>
    <w:rsid w:val="00F31F3F"/>
    <w:rsid w:val="00F3225B"/>
    <w:rsid w:val="00F350F7"/>
    <w:rsid w:val="00F3654B"/>
    <w:rsid w:val="00F377CE"/>
    <w:rsid w:val="00F46CF5"/>
    <w:rsid w:val="00F553A5"/>
    <w:rsid w:val="00F553F0"/>
    <w:rsid w:val="00F558EE"/>
    <w:rsid w:val="00F619AD"/>
    <w:rsid w:val="00F61F1D"/>
    <w:rsid w:val="00F65AB4"/>
    <w:rsid w:val="00F7050F"/>
    <w:rsid w:val="00F71857"/>
    <w:rsid w:val="00F7299D"/>
    <w:rsid w:val="00F75494"/>
    <w:rsid w:val="00F75B6D"/>
    <w:rsid w:val="00F844AC"/>
    <w:rsid w:val="00F9040A"/>
    <w:rsid w:val="00F9594C"/>
    <w:rsid w:val="00FA343F"/>
    <w:rsid w:val="00FA38D2"/>
    <w:rsid w:val="00FB5C0B"/>
    <w:rsid w:val="00FC79E8"/>
    <w:rsid w:val="00FD0E95"/>
    <w:rsid w:val="00FD16BE"/>
    <w:rsid w:val="00FD73E4"/>
    <w:rsid w:val="00FE200B"/>
    <w:rsid w:val="00FE2499"/>
    <w:rsid w:val="00FE2A22"/>
    <w:rsid w:val="00FE2F7E"/>
    <w:rsid w:val="00FF0FC4"/>
    <w:rsid w:val="00FF2611"/>
    <w:rsid w:val="01AC28C5"/>
    <w:rsid w:val="01B13D32"/>
    <w:rsid w:val="01DF166C"/>
    <w:rsid w:val="028456ED"/>
    <w:rsid w:val="02CA7E16"/>
    <w:rsid w:val="02D84CC2"/>
    <w:rsid w:val="036D47D9"/>
    <w:rsid w:val="03890C0C"/>
    <w:rsid w:val="047A62FF"/>
    <w:rsid w:val="051358AA"/>
    <w:rsid w:val="051E2966"/>
    <w:rsid w:val="05264F85"/>
    <w:rsid w:val="05392252"/>
    <w:rsid w:val="057E01D2"/>
    <w:rsid w:val="059B74D6"/>
    <w:rsid w:val="064C2232"/>
    <w:rsid w:val="06760EF1"/>
    <w:rsid w:val="06FB447D"/>
    <w:rsid w:val="073139B3"/>
    <w:rsid w:val="07CD02C0"/>
    <w:rsid w:val="090B727C"/>
    <w:rsid w:val="099835BD"/>
    <w:rsid w:val="09B11297"/>
    <w:rsid w:val="0A532621"/>
    <w:rsid w:val="0AB10DFD"/>
    <w:rsid w:val="0B06600D"/>
    <w:rsid w:val="0C0266C4"/>
    <w:rsid w:val="0CB30555"/>
    <w:rsid w:val="0D24116E"/>
    <w:rsid w:val="0DBD3FF5"/>
    <w:rsid w:val="0E07545B"/>
    <w:rsid w:val="0E0E1999"/>
    <w:rsid w:val="0E3C035E"/>
    <w:rsid w:val="0E505448"/>
    <w:rsid w:val="0EB145AA"/>
    <w:rsid w:val="0EEB4F6A"/>
    <w:rsid w:val="10441906"/>
    <w:rsid w:val="105F7D53"/>
    <w:rsid w:val="109674A9"/>
    <w:rsid w:val="11177414"/>
    <w:rsid w:val="1121029F"/>
    <w:rsid w:val="114B7194"/>
    <w:rsid w:val="11685D50"/>
    <w:rsid w:val="116D1885"/>
    <w:rsid w:val="125847F6"/>
    <w:rsid w:val="129920A3"/>
    <w:rsid w:val="129C76C2"/>
    <w:rsid w:val="13205885"/>
    <w:rsid w:val="139A4665"/>
    <w:rsid w:val="14503B7E"/>
    <w:rsid w:val="14995D5F"/>
    <w:rsid w:val="14DF64CD"/>
    <w:rsid w:val="159B78D5"/>
    <w:rsid w:val="16264B8B"/>
    <w:rsid w:val="16D97031"/>
    <w:rsid w:val="17081776"/>
    <w:rsid w:val="171B46E3"/>
    <w:rsid w:val="17851B76"/>
    <w:rsid w:val="17A23568"/>
    <w:rsid w:val="180E0680"/>
    <w:rsid w:val="183D3E13"/>
    <w:rsid w:val="187B3295"/>
    <w:rsid w:val="198C787E"/>
    <w:rsid w:val="1ABC457B"/>
    <w:rsid w:val="1B377922"/>
    <w:rsid w:val="1CF650B8"/>
    <w:rsid w:val="1D9D7BC6"/>
    <w:rsid w:val="1EA44620"/>
    <w:rsid w:val="1EFB4E4E"/>
    <w:rsid w:val="1F5B51D2"/>
    <w:rsid w:val="1FA714BB"/>
    <w:rsid w:val="200E2E08"/>
    <w:rsid w:val="20EF38CF"/>
    <w:rsid w:val="21693C33"/>
    <w:rsid w:val="21790288"/>
    <w:rsid w:val="21A22FE4"/>
    <w:rsid w:val="21B71F5A"/>
    <w:rsid w:val="2231780F"/>
    <w:rsid w:val="22A44815"/>
    <w:rsid w:val="22BB470A"/>
    <w:rsid w:val="234813C4"/>
    <w:rsid w:val="23B75C54"/>
    <w:rsid w:val="249C0AD5"/>
    <w:rsid w:val="2504121B"/>
    <w:rsid w:val="25AF76C5"/>
    <w:rsid w:val="2651518F"/>
    <w:rsid w:val="266C592A"/>
    <w:rsid w:val="267207CC"/>
    <w:rsid w:val="26F700A1"/>
    <w:rsid w:val="276017F6"/>
    <w:rsid w:val="27AD5EDF"/>
    <w:rsid w:val="27C74FFD"/>
    <w:rsid w:val="28382437"/>
    <w:rsid w:val="28A00CEC"/>
    <w:rsid w:val="28A037FB"/>
    <w:rsid w:val="293C4299"/>
    <w:rsid w:val="298D086B"/>
    <w:rsid w:val="2A9065EA"/>
    <w:rsid w:val="2B822593"/>
    <w:rsid w:val="2B9C2F2A"/>
    <w:rsid w:val="2BC20A10"/>
    <w:rsid w:val="2BFB0DEB"/>
    <w:rsid w:val="2CDA414A"/>
    <w:rsid w:val="2D4010E2"/>
    <w:rsid w:val="2D69782E"/>
    <w:rsid w:val="2DDA4B60"/>
    <w:rsid w:val="2E1F1E70"/>
    <w:rsid w:val="2E5D12C6"/>
    <w:rsid w:val="2ED84CF8"/>
    <w:rsid w:val="2EE92E52"/>
    <w:rsid w:val="2F226E78"/>
    <w:rsid w:val="2F704002"/>
    <w:rsid w:val="31027416"/>
    <w:rsid w:val="31223406"/>
    <w:rsid w:val="3166483E"/>
    <w:rsid w:val="31A63FE6"/>
    <w:rsid w:val="33EA3505"/>
    <w:rsid w:val="342C0201"/>
    <w:rsid w:val="359A1C2D"/>
    <w:rsid w:val="365824AB"/>
    <w:rsid w:val="36944CAA"/>
    <w:rsid w:val="36A929E6"/>
    <w:rsid w:val="36C319C6"/>
    <w:rsid w:val="36C32A55"/>
    <w:rsid w:val="38E6794F"/>
    <w:rsid w:val="3AA235A3"/>
    <w:rsid w:val="3AB93A58"/>
    <w:rsid w:val="3AD60EE1"/>
    <w:rsid w:val="3B0511CB"/>
    <w:rsid w:val="3BA274A0"/>
    <w:rsid w:val="3C3F0926"/>
    <w:rsid w:val="3C4F0DC6"/>
    <w:rsid w:val="3C5419D5"/>
    <w:rsid w:val="3D112F32"/>
    <w:rsid w:val="3D3B64FF"/>
    <w:rsid w:val="3DCD3148"/>
    <w:rsid w:val="3E035B7E"/>
    <w:rsid w:val="3E671E79"/>
    <w:rsid w:val="3EB8678B"/>
    <w:rsid w:val="3F4A0506"/>
    <w:rsid w:val="3F9313A5"/>
    <w:rsid w:val="405647FD"/>
    <w:rsid w:val="40883B92"/>
    <w:rsid w:val="40FF7DA4"/>
    <w:rsid w:val="41007235"/>
    <w:rsid w:val="41315D03"/>
    <w:rsid w:val="41572A21"/>
    <w:rsid w:val="41994012"/>
    <w:rsid w:val="41A340E9"/>
    <w:rsid w:val="41BA6705"/>
    <w:rsid w:val="431C1FB2"/>
    <w:rsid w:val="444C4247"/>
    <w:rsid w:val="45405ECE"/>
    <w:rsid w:val="456B0E7A"/>
    <w:rsid w:val="45AD06FC"/>
    <w:rsid w:val="464F7195"/>
    <w:rsid w:val="46DE1873"/>
    <w:rsid w:val="47021E8B"/>
    <w:rsid w:val="47170D52"/>
    <w:rsid w:val="479A5320"/>
    <w:rsid w:val="47A45B47"/>
    <w:rsid w:val="48E625AD"/>
    <w:rsid w:val="494F294B"/>
    <w:rsid w:val="4A1A319B"/>
    <w:rsid w:val="4A2E38AD"/>
    <w:rsid w:val="4A47474B"/>
    <w:rsid w:val="4BC67562"/>
    <w:rsid w:val="4C237617"/>
    <w:rsid w:val="4C351B96"/>
    <w:rsid w:val="4C696C82"/>
    <w:rsid w:val="4C7332C9"/>
    <w:rsid w:val="4D3E19FC"/>
    <w:rsid w:val="4D586D97"/>
    <w:rsid w:val="4D6C7E96"/>
    <w:rsid w:val="4DE461DC"/>
    <w:rsid w:val="4EAB46FB"/>
    <w:rsid w:val="4EB909F8"/>
    <w:rsid w:val="4ED030DD"/>
    <w:rsid w:val="4F6D5464"/>
    <w:rsid w:val="4F79053A"/>
    <w:rsid w:val="4F7E2096"/>
    <w:rsid w:val="4F8C3E55"/>
    <w:rsid w:val="50214BE0"/>
    <w:rsid w:val="509E2BD3"/>
    <w:rsid w:val="51895287"/>
    <w:rsid w:val="51D135EB"/>
    <w:rsid w:val="51F63E1C"/>
    <w:rsid w:val="54156369"/>
    <w:rsid w:val="54AF098B"/>
    <w:rsid w:val="55C26F7A"/>
    <w:rsid w:val="57041DB7"/>
    <w:rsid w:val="577D3642"/>
    <w:rsid w:val="58152A35"/>
    <w:rsid w:val="5851293E"/>
    <w:rsid w:val="58806735"/>
    <w:rsid w:val="593D5A74"/>
    <w:rsid w:val="59A460E9"/>
    <w:rsid w:val="5A0A0038"/>
    <w:rsid w:val="5A3F1414"/>
    <w:rsid w:val="5AC223BE"/>
    <w:rsid w:val="5AF165F1"/>
    <w:rsid w:val="5B146A83"/>
    <w:rsid w:val="5BA01226"/>
    <w:rsid w:val="5BA9483D"/>
    <w:rsid w:val="5BBA71BB"/>
    <w:rsid w:val="5BF3425E"/>
    <w:rsid w:val="5C664F54"/>
    <w:rsid w:val="5DAC2030"/>
    <w:rsid w:val="5E2D1C18"/>
    <w:rsid w:val="5E322F01"/>
    <w:rsid w:val="5E434D9D"/>
    <w:rsid w:val="5E652CA1"/>
    <w:rsid w:val="5E731A09"/>
    <w:rsid w:val="5F4F0415"/>
    <w:rsid w:val="5F680587"/>
    <w:rsid w:val="5FF8253D"/>
    <w:rsid w:val="601C7D46"/>
    <w:rsid w:val="605E4B1F"/>
    <w:rsid w:val="60954A05"/>
    <w:rsid w:val="619911D5"/>
    <w:rsid w:val="61D846E7"/>
    <w:rsid w:val="628B30C0"/>
    <w:rsid w:val="62CC3941"/>
    <w:rsid w:val="634C22F1"/>
    <w:rsid w:val="63B03284"/>
    <w:rsid w:val="63F35510"/>
    <w:rsid w:val="64791691"/>
    <w:rsid w:val="64F00D6C"/>
    <w:rsid w:val="653B290E"/>
    <w:rsid w:val="65935B94"/>
    <w:rsid w:val="668B00C5"/>
    <w:rsid w:val="67204016"/>
    <w:rsid w:val="675328FD"/>
    <w:rsid w:val="67960FD0"/>
    <w:rsid w:val="68092554"/>
    <w:rsid w:val="68B423A2"/>
    <w:rsid w:val="68C342C0"/>
    <w:rsid w:val="68F76547"/>
    <w:rsid w:val="6958335A"/>
    <w:rsid w:val="69EB70EF"/>
    <w:rsid w:val="69F25AE3"/>
    <w:rsid w:val="6BE15BEB"/>
    <w:rsid w:val="6C25072B"/>
    <w:rsid w:val="6CEC30A7"/>
    <w:rsid w:val="6D8B5404"/>
    <w:rsid w:val="6E01725B"/>
    <w:rsid w:val="6EC61F74"/>
    <w:rsid w:val="6EFA5ED8"/>
    <w:rsid w:val="6F377032"/>
    <w:rsid w:val="6F4D7E92"/>
    <w:rsid w:val="6FEA7D9D"/>
    <w:rsid w:val="70006B54"/>
    <w:rsid w:val="700D679A"/>
    <w:rsid w:val="704F45C0"/>
    <w:rsid w:val="706762C8"/>
    <w:rsid w:val="707A2C52"/>
    <w:rsid w:val="70AD7087"/>
    <w:rsid w:val="71053B69"/>
    <w:rsid w:val="7109676D"/>
    <w:rsid w:val="7130699C"/>
    <w:rsid w:val="71D17F6E"/>
    <w:rsid w:val="724666DF"/>
    <w:rsid w:val="72492671"/>
    <w:rsid w:val="72944AE7"/>
    <w:rsid w:val="731653B6"/>
    <w:rsid w:val="739751C9"/>
    <w:rsid w:val="73AF4C66"/>
    <w:rsid w:val="73B91730"/>
    <w:rsid w:val="73F6540A"/>
    <w:rsid w:val="75046A17"/>
    <w:rsid w:val="75565D10"/>
    <w:rsid w:val="768D3C6A"/>
    <w:rsid w:val="76943A8F"/>
    <w:rsid w:val="769C6080"/>
    <w:rsid w:val="77380FB6"/>
    <w:rsid w:val="79C228CF"/>
    <w:rsid w:val="79E57456"/>
    <w:rsid w:val="79E7131A"/>
    <w:rsid w:val="79F764BD"/>
    <w:rsid w:val="7A3B63CC"/>
    <w:rsid w:val="7A4676C5"/>
    <w:rsid w:val="7ADF1091"/>
    <w:rsid w:val="7B7017E1"/>
    <w:rsid w:val="7B992B09"/>
    <w:rsid w:val="7BA70C7D"/>
    <w:rsid w:val="7BC14C86"/>
    <w:rsid w:val="7C0D62A6"/>
    <w:rsid w:val="7C6F2E22"/>
    <w:rsid w:val="7CB9796E"/>
    <w:rsid w:val="7E0E04F3"/>
    <w:rsid w:val="7E207472"/>
    <w:rsid w:val="7E4B0FBB"/>
    <w:rsid w:val="7E4E2A29"/>
    <w:rsid w:val="7E8B11A0"/>
    <w:rsid w:val="7EBC27D4"/>
    <w:rsid w:val="7F4C4C0F"/>
    <w:rsid w:val="7F59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28"/>
      <w:szCs w:val="22"/>
      <w:lang w:val="en-US" w:eastAsia="zh-CN" w:bidi="ar-SA"/>
    </w:rPr>
  </w:style>
  <w:style w:type="paragraph" w:styleId="2">
    <w:name w:val="heading 1"/>
    <w:basedOn w:val="1"/>
    <w:next w:val="1"/>
    <w:link w:val="19"/>
    <w:qFormat/>
    <w:uiPriority w:val="0"/>
    <w:pPr>
      <w:keepNext/>
      <w:keepLines/>
      <w:ind w:leftChars="200" w:firstLine="0" w:firstLineChars="0"/>
      <w:jc w:val="left"/>
      <w:outlineLvl w:val="0"/>
    </w:pPr>
    <w:rPr>
      <w:rFonts w:eastAsia="黑体"/>
      <w:bCs/>
      <w:kern w:val="44"/>
      <w:sz w:val="32"/>
      <w:szCs w:val="44"/>
    </w:rPr>
  </w:style>
  <w:style w:type="paragraph" w:styleId="3">
    <w:name w:val="heading 2"/>
    <w:basedOn w:val="1"/>
    <w:next w:val="1"/>
    <w:qFormat/>
    <w:uiPriority w:val="0"/>
    <w:pPr>
      <w:keepNext/>
      <w:keepLines/>
      <w:spacing w:before="260" w:after="260" w:line="413" w:lineRule="auto"/>
      <w:outlineLvl w:val="1"/>
    </w:pPr>
    <w:rPr>
      <w:rFonts w:ascii="Arial" w:hAnsi="Arial"/>
      <w:b/>
      <w:sz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6">
    <w:name w:val="Default Paragraph Font"/>
    <w:semiHidden/>
    <w:uiPriority w:val="0"/>
  </w:style>
  <w:style w:type="table" w:default="1" w:styleId="15">
    <w:name w:val="Normal Table"/>
    <w:semiHidden/>
    <w:uiPriority w:val="0"/>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toc 3"/>
    <w:basedOn w:val="1"/>
    <w:next w:val="1"/>
    <w:uiPriority w:val="39"/>
    <w:pPr>
      <w:ind w:left="840" w:leftChars="400"/>
    </w:p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uiPriority w:val="39"/>
  </w:style>
  <w:style w:type="paragraph" w:styleId="11">
    <w:name w:val="Subtitle"/>
    <w:basedOn w:val="1"/>
    <w:next w:val="1"/>
    <w:link w:val="20"/>
    <w:qFormat/>
    <w:uiPriority w:val="0"/>
    <w:pPr>
      <w:jc w:val="left"/>
      <w:outlineLvl w:val="2"/>
    </w:pPr>
    <w:rPr>
      <w:rFonts w:ascii="Cambria" w:hAnsi="Cambria" w:eastAsia="黑体"/>
      <w:bCs/>
      <w:kern w:val="28"/>
      <w:szCs w:val="32"/>
    </w:rPr>
  </w:style>
  <w:style w:type="paragraph" w:styleId="12">
    <w:name w:val="toc 2"/>
    <w:basedOn w:val="1"/>
    <w:next w:val="1"/>
    <w:uiPriority w:val="39"/>
    <w:pPr>
      <w:ind w:left="420" w:leftChars="200"/>
    </w:pPr>
  </w:style>
  <w:style w:type="paragraph" w:styleId="13">
    <w:name w:val="Normal (Web)"/>
    <w:basedOn w:val="1"/>
    <w:uiPriority w:val="0"/>
    <w:pPr>
      <w:spacing w:before="100" w:beforeAutospacing="1" w:after="100" w:afterAutospacing="1"/>
      <w:jc w:val="left"/>
    </w:pPr>
    <w:rPr>
      <w:kern w:val="0"/>
      <w:sz w:val="24"/>
    </w:rPr>
  </w:style>
  <w:style w:type="paragraph" w:styleId="14">
    <w:name w:val="annotation subject"/>
    <w:basedOn w:val="5"/>
    <w:next w:val="5"/>
    <w:semiHidden/>
    <w:uiPriority w:val="0"/>
    <w:rPr>
      <w:b/>
      <w:bCs/>
    </w:rPr>
  </w:style>
  <w:style w:type="character" w:styleId="17">
    <w:name w:val="Hyperlink"/>
    <w:basedOn w:val="16"/>
    <w:unhideWhenUsed/>
    <w:uiPriority w:val="99"/>
    <w:rPr>
      <w:color w:val="0000FF"/>
      <w:u w:val="single"/>
    </w:rPr>
  </w:style>
  <w:style w:type="character" w:styleId="18">
    <w:name w:val="annotation reference"/>
    <w:basedOn w:val="16"/>
    <w:semiHidden/>
    <w:uiPriority w:val="0"/>
    <w:rPr>
      <w:sz w:val="21"/>
      <w:szCs w:val="21"/>
    </w:rPr>
  </w:style>
  <w:style w:type="character" w:customStyle="1" w:styleId="19">
    <w:name w:val="标题 1 Char"/>
    <w:basedOn w:val="16"/>
    <w:link w:val="2"/>
    <w:locked/>
    <w:uiPriority w:val="0"/>
    <w:rPr>
      <w:rFonts w:ascii="Times New Roman" w:hAnsi="Times New Roman" w:eastAsia="黑体"/>
      <w:bCs/>
      <w:kern w:val="44"/>
      <w:sz w:val="32"/>
      <w:szCs w:val="44"/>
      <w:lang w:val="en-US" w:eastAsia="zh-CN" w:bidi="ar-SA"/>
    </w:rPr>
  </w:style>
  <w:style w:type="character" w:customStyle="1" w:styleId="20">
    <w:name w:val="副标题 Char"/>
    <w:basedOn w:val="16"/>
    <w:link w:val="11"/>
    <w:locked/>
    <w:uiPriority w:val="0"/>
    <w:rPr>
      <w:rFonts w:ascii="Cambria" w:hAnsi="Cambria" w:eastAsia="黑体"/>
      <w:bCs/>
      <w:kern w:val="28"/>
      <w:sz w:val="28"/>
      <w:szCs w:val="32"/>
      <w:lang w:val="en-US" w:eastAsia="zh-CN" w:bidi="ar-SA"/>
    </w:rPr>
  </w:style>
  <w:style w:type="character" w:customStyle="1" w:styleId="21">
    <w:name w:val="无缩进 Char"/>
    <w:basedOn w:val="16"/>
    <w:link w:val="22"/>
    <w:locked/>
    <w:uiPriority w:val="0"/>
    <w:rPr>
      <w:rFonts w:eastAsia="仿宋_GB2312"/>
      <w:kern w:val="2"/>
      <w:sz w:val="28"/>
      <w:szCs w:val="22"/>
      <w:lang w:val="en-US" w:eastAsia="zh-CN" w:bidi="ar-SA"/>
    </w:rPr>
  </w:style>
  <w:style w:type="paragraph" w:customStyle="1" w:styleId="22">
    <w:name w:val="无缩进"/>
    <w:basedOn w:val="1"/>
    <w:link w:val="21"/>
    <w:uiPriority w:val="0"/>
    <w:pPr>
      <w:ind w:firstLine="0" w:firstLineChars="0"/>
    </w:pPr>
  </w:style>
  <w:style w:type="paragraph" w:customStyle="1" w:styleId="23">
    <w:name w:val=" Char Char"/>
    <w:basedOn w:val="1"/>
    <w:uiPriority w:val="0"/>
    <w:pPr>
      <w:ind w:firstLine="0" w:firstLineChars="0"/>
    </w:pPr>
    <w:rPr>
      <w:sz w:val="32"/>
      <w:szCs w:val="20"/>
    </w:rPr>
  </w:style>
  <w:style w:type="paragraph" w:customStyle="1" w:styleId="24">
    <w:name w:val="默认段落字体 Para Char"/>
    <w:basedOn w:val="1"/>
    <w:uiPriority w:val="0"/>
    <w:pPr>
      <w:adjustRightInd w:val="0"/>
      <w:spacing w:line="360" w:lineRule="auto"/>
      <w:ind w:firstLine="0" w:firstLineChars="0"/>
    </w:pPr>
    <w:rPr>
      <w:rFonts w:eastAsia="宋体"/>
      <w:kern w:val="0"/>
      <w:sz w:val="21"/>
      <w:szCs w:val="20"/>
    </w:rPr>
  </w:style>
  <w:style w:type="paragraph" w:customStyle="1" w:styleId="25">
    <w:name w:val="_Style 2"/>
    <w:basedOn w:val="2"/>
    <w:next w:val="1"/>
    <w:unhideWhenUsed/>
    <w:qFormat/>
    <w:uiPriority w:val="39"/>
    <w:pPr>
      <w:widowControl/>
      <w:spacing w:before="240" w:line="259" w:lineRule="auto"/>
      <w:outlineLvl w:val="9"/>
    </w:pPr>
    <w:rPr>
      <w:rFonts w:ascii="Calibri Light" w:hAnsi="Calibri Light" w:eastAsia="宋体"/>
      <w:bCs w:val="0"/>
      <w:color w:val="2E74B5"/>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7"/>
    <customShpInfo spid="_x0000_s2070"/>
    <customShpInfo spid="_x0000_s2071"/>
    <customShpInfo spid="_x0000_s2068"/>
    <customShpInfo spid="_x0000_s206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1310</Words>
  <Characters>7467</Characters>
  <Lines>62</Lines>
  <Paragraphs>17</Paragraphs>
  <TotalTime>3</TotalTime>
  <ScaleCrop>false</ScaleCrop>
  <LinksUpToDate>false</LinksUpToDate>
  <CharactersWithSpaces>8760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2024-05-16T06:53:00Z</dcterms:created>
  <dc:creator>Administrator</dc:creator>
  <cp:lastModifiedBy>Administrator</cp:lastModifiedBy>
  <dcterms:modified xsi:type="dcterms:W3CDTF">2024-05-16T07:41:16Z</dcterms:modified>
  <dc:title>北京市怀柔区财政支出项目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0635B3065DFA4930BE5E45703A1FD1BB_13</vt:lpwstr>
  </property>
</Properties>
</file>