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bookmarkStart w:id="0" w:name="_GoBack"/>
      <w:bookmarkEnd w:id="0"/>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天津市蓟州区人民法院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天津市蓟州区人民法院作为国家审判机关，依法独立行使审判权，审判工作受天津市高级人民法院、天津市中级人民法院的监督、指导。其主要职责是：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1、依法审判由基层人民法院管辖或由上级人民法院指定管辖的刑事、民事、行政等一审案件。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2、受理不服本院生效裁定的各类申诉和再审申请，对其中确有错误并已经发生法律效力的判决、裁定进行再审。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3、依法审判由同级人民检察院按照审判监督程序提出的抗诉案件。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4、依法行使司法执行权和司法决定权。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5、依法决定法律赔偿。</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6、针对案件审理中发现的问题提出司法建议。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7、对本院的法官和其他工作人员进行思想政治教育，组织</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专业培训；按照权限管理法官和其他工作人员。</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8、负责本院的纪检、监察工作。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9、负责本院业务经费、物资装备的使用和管理。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10、承办其他应由本院负责的工作。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天津市蓟州区人民法院内设1</w:t>
      </w:r>
      <w:r>
        <w:rPr>
          <w:rFonts w:hint="eastAsia" w:ascii="Times New Roman" w:hAnsi="Times New Roman" w:eastAsia="仿宋_GB2312" w:cs="仿宋_GB2312"/>
          <w:sz w:val="30"/>
          <w:szCs w:val="30"/>
          <w:lang w:val="en-US" w:eastAsia="zh-CN"/>
        </w:rPr>
        <w:t>7</w:t>
      </w:r>
      <w:r>
        <w:rPr>
          <w:rFonts w:hint="eastAsia" w:ascii="Times New Roman" w:hAnsi="Times New Roman" w:eastAsia="仿宋_GB2312" w:cs="仿宋_GB2312"/>
          <w:sz w:val="30"/>
          <w:szCs w:val="30"/>
        </w:rPr>
        <w:t>个职能处室。纳入天津市蓟州区人民法院2023年度部门决算编制范围的单位包括：</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天津市蓟州区人民法院部门(本级)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1.天津市蓟州区人民法院2023年度政府性基金预算财政拨款收入支出决算表为空表。</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2.天津市蓟州区人民法院2023年度国有资本经营预算财政拨款收入支出决算表为空表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人民法院2023年度收入、支出决算总计101,005,616.38元，与2022年度相比，收、支总计各增加9,937,319.84元，增长10.91%，主要原因是：人员晋级晋档经费收支增加，中央空调配套管网升级公用经费收支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天津市蓟州区人民法院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101,000,616.38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年度相比增加9,934,922.61元，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人员晋级晋档经费收入增加，中央空调配套管网升级公用经费收入增加。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100,991,335.94</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9,280.44元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年度本年支出合计100,978,645.30元，与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年度相比增加9,982,545.57元，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：人员晋级晋档经费支出增加，中央空调配套管网升级公用经费支出增加。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87,922,249.08元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占87.07%；</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13,056,396.22元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占12.93%。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100,991,335.94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年度相比，财政拨款收、支总计各增加9,935,196.91元，增长10.91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人员晋级晋档经费收支增加，中央空调配套管网升级公用经费收支增加。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天津市蓟州区人民法院2023年度部门决算一般公共预算财政拨款支出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计100,964,405.30元，占本年支出合计的99.99%，与2022年度相比，一般公共预算财政拨款支出增加9,972,223.87元，增长10.96%，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：人员晋级晋档经费支出增加，中央空调配套管网升级公用经费支出增加。</w:t>
      </w:r>
    </w:p>
    <w:p>
      <w:pPr>
        <w:autoSpaceDE w:val="0"/>
        <w:autoSpaceDN w:val="0"/>
        <w:adjustRightInd w:val="0"/>
        <w:spacing w:line="600" w:lineRule="exact"/>
        <w:ind w:firstLine="72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100,964,405.30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公共安全支出90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532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136.16元，占89.67%；社会保障和就业支出6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974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872.4</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元，占6.91%；卫生健康支出3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457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396.74元，占3.42%</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85,671,000.00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100,964,405.30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117.85%</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1.公共安全支出(类)法院(款)行政运行(项)年初预算为 69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元，支出决算为77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489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039.94元，完成年初预算的 110.73%，决算数大于年初预算数的主要原因是人员增加及部分</w:t>
      </w:r>
      <w:r>
        <w:rPr>
          <w:rFonts w:ascii="Times New Roman" w:hAnsi="Times New Roman" w:eastAsia="仿宋_GB2312" w:cs="仿宋_GB2312"/>
          <w:sz w:val="30"/>
          <w:szCs w:val="30"/>
        </w:rPr>
        <w:t>干警晋级晋档</w:t>
      </w:r>
      <w:r>
        <w:rPr>
          <w:rFonts w:hint="eastAsia" w:ascii="Times New Roman" w:hAnsi="Times New Roman" w:eastAsia="仿宋_GB2312" w:cs="仿宋_GB2312"/>
          <w:sz w:val="30"/>
          <w:szCs w:val="30"/>
        </w:rPr>
        <w:t>。</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 公共安全支出(类)法院(款)案件审判(项)年初预算为 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890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234.55 元，完成年初预算的109.31%，决算数大于年初预算数的主要原因是年中追加办案业务经费 。</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3.公共安全支出(类)法院(款)其他法院支出(项)年初预算为0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697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861.67元，支出决算为7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697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861.67元，决算数等于追加预算数的主要原因是中央空调配套管网提升以及追加抚恤金。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4.社会保障和就业支出(类)行政事业单位养老支出(款)机关事业单位基本养老保险缴费支出(项)年初预算为4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735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654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184.56元，完成年初预算的98.29%，决算数小于年初预算数的主要原因是人员变动，导致社会保险支出与年初计划数存在差异。</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5.社会保障和就业支出(类)行政事业单位养老支出(款)机关事业单位职业年金缴费支出(项)年初预算为2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368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320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687.84元，完成年初预算的98.00%，决算数小于年初预算数的主要原因是人员变动，导致机关事业单位职业年金缴费支出与年初计划数存在差异。</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6.卫生健康支出(类)行政事业单位医疗(款)行政单位医疗(项)年初预算为3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108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877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224.68元，完成年初预算的92.57%，决算数小于年初预算数的主要原因是人员变动和社会保险制度变化，导致行政单位医疗支出与年初计划数存在差异。</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7.卫生健康支出(类)行政事业单位医疗(款)公务员医疗补助(项)年初预算为592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元，支出决算为580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172.06元，完成年初预算的98.00%，决算数小于年初预算数的主要原因是人员变动，导致公务员医疗补助支出与年初计划数存在差异。</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87,921,309.08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年度相比增加3,172,721.65元，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人员增加以及人员晋级晋档，办案数量增加导致费用增加。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75,987,284.62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基本工资、津贴补贴、奖金、机关事业单位基本养老保险缴费、职业年金缴费、职工基本医疗保险缴费、公务员医疗补助缴费、其他社会保障缴费、住房公积金、其他工资福利支出、退休费、生活补助。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11,934,024.46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办公费、印刷费、水费、电费、邮电费、取暖费、物业管理费、差旅费、维修(护)费、劳务费、工会经费、福利费、公务用车运行维护费、其他交通费用、其他商品和服务支出、办公设备购置。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天津市蓟州区人民法院2023年度无政府性基金预算财政拨款收入、支出和结转结余。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610,000.00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599,234.21</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10,765.79</w:t>
      </w:r>
      <w:r>
        <w:rPr>
          <w:rFonts w:hint="eastAsia" w:ascii="Times New Roman" w:hAnsi="Times New Roman" w:eastAsia="仿宋_GB2312" w:cs="仿宋_GB2312"/>
          <w:kern w:val="0"/>
          <w:sz w:val="30"/>
          <w:szCs w:val="30"/>
        </w:rPr>
        <w:t>元，完成预算的98.24</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161,234.21元，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36.81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本年未开展公务接待工作，公车购置款有结余。</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更新一辆执法执勤车辆。</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605,000.00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599,234.21</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5,765.79</w:t>
      </w:r>
      <w:r>
        <w:rPr>
          <w:rFonts w:hint="eastAsia" w:ascii="Times New Roman" w:hAnsi="Times New Roman" w:eastAsia="仿宋_GB2312" w:cs="仿宋_GB2312"/>
          <w:kern w:val="0"/>
          <w:sz w:val="30"/>
          <w:szCs w:val="30"/>
        </w:rPr>
        <w:t>元，完成预算的99.05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161,234.21元，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36.81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公车购置款有结余。</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更新一辆执法执勤车辆。</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435,000.00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435,000.00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3,000.00元，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0.68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的主要原因是：合理安排公务用车使用，严格按照预算执行</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170,000.00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164,234.21</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5,765.79</w:t>
      </w:r>
      <w:r>
        <w:rPr>
          <w:rFonts w:hint="eastAsia" w:ascii="Times New Roman" w:hAnsi="Times New Roman" w:eastAsia="仿宋_GB2312" w:cs="仿宋_GB2312"/>
          <w:kern w:val="0"/>
          <w:sz w:val="30"/>
          <w:szCs w:val="30"/>
        </w:rPr>
        <w:t>元，完成预算的96.61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164,234.21元，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w:t>
      </w:r>
      <w:r>
        <w:rPr>
          <w:rFonts w:ascii="Times New Roman" w:hAnsi="Times New Roman" w:eastAsia="仿宋_GB2312" w:cs="仿宋_GB2312"/>
          <w:kern w:val="0"/>
          <w:sz w:val="30"/>
          <w:szCs w:val="30"/>
        </w:rPr>
        <w:t>0</w:t>
      </w:r>
      <w:r>
        <w:rPr>
          <w:rFonts w:hint="eastAsia"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公车购置款有结余。</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更新一辆执法执勤车辆。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元，完成预算的0.0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天津市蓟州区人民法院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11,934,024.46</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年减少334,344.58元，降低2.73</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严格遵守经费管理规定，压减公用经费开支，节减公用经费使用。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天津市蓟州区人民法院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5,223,674.00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142,374.00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5,081,300.00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4,323,674.00</w:t>
      </w:r>
      <w:r>
        <w:rPr>
          <w:rFonts w:hint="eastAsia" w:ascii="Times New Roman" w:hAnsi="Times New Roman" w:eastAsia="仿宋_GB2312" w:cs="仿宋_GB2312"/>
          <w:color w:val="000000"/>
          <w:kern w:val="0"/>
          <w:sz w:val="30"/>
          <w:szCs w:val="30"/>
        </w:rPr>
        <w:t>元，占政府采购支出总额的</w:t>
      </w:r>
      <w:r>
        <w:rPr>
          <w:rFonts w:ascii="Times New Roman" w:hAnsi="Times New Roman" w:eastAsia="仿宋_GB2312" w:cs="Times New Roman"/>
          <w:kern w:val="0"/>
          <w:sz w:val="30"/>
          <w:szCs w:val="30"/>
        </w:rPr>
        <w:t>82.77</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4,323,674.00</w:t>
      </w:r>
      <w:r>
        <w:rPr>
          <w:rFonts w:hint="eastAsia" w:ascii="Times New Roman" w:hAnsi="Times New Roman" w:eastAsia="仿宋_GB2312" w:cs="仿宋_GB2312"/>
          <w:color w:val="000000"/>
          <w:kern w:val="0"/>
          <w:sz w:val="30"/>
          <w:szCs w:val="30"/>
        </w:rPr>
        <w:t>元，占政府采购支出总额的</w:t>
      </w:r>
      <w:r>
        <w:rPr>
          <w:rFonts w:ascii="Times New Roman" w:hAnsi="Times New Roman" w:eastAsia="仿宋_GB2312" w:cs="Times New Roman"/>
          <w:kern w:val="0"/>
          <w:sz w:val="30"/>
          <w:szCs w:val="30"/>
        </w:rPr>
        <w:t>82.77</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82.29</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日，天津市蓟州区人民法院共有车辆</w:t>
      </w:r>
      <w:r>
        <w:rPr>
          <w:rFonts w:hint="eastAsia" w:ascii="Times New Roman" w:hAnsi="Times New Roman" w:eastAsia="仿宋_GB2312" w:cs="Times New Roman"/>
          <w:kern w:val="0"/>
          <w:sz w:val="30"/>
          <w:szCs w:val="30"/>
        </w:rPr>
        <w:t>21</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20</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根据预算绩效管理要求，天津市蓟州区人民法院2023年度已对2个市级项目开展绩效自评，涉及金额825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230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天津市蓟州区人民法院不属于乡、镇、街级单位，不涉及公开2023年度教育、医疗卫生、社会保障和就业、住房保障、涉农补贴等民生支出情况。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44F4"/>
    <w:rsid w:val="002E6086"/>
    <w:rsid w:val="00302490"/>
    <w:rsid w:val="003227B2"/>
    <w:rsid w:val="003536BE"/>
    <w:rsid w:val="003B25FB"/>
    <w:rsid w:val="004A482F"/>
    <w:rsid w:val="004D1498"/>
    <w:rsid w:val="004F39BF"/>
    <w:rsid w:val="005062D7"/>
    <w:rsid w:val="005175E6"/>
    <w:rsid w:val="00525157"/>
    <w:rsid w:val="005349A2"/>
    <w:rsid w:val="005513F7"/>
    <w:rsid w:val="00575537"/>
    <w:rsid w:val="005D1367"/>
    <w:rsid w:val="005D3F56"/>
    <w:rsid w:val="006016F7"/>
    <w:rsid w:val="00654D17"/>
    <w:rsid w:val="006623EC"/>
    <w:rsid w:val="006A094D"/>
    <w:rsid w:val="006D2409"/>
    <w:rsid w:val="006E65DB"/>
    <w:rsid w:val="00776FF3"/>
    <w:rsid w:val="0078156E"/>
    <w:rsid w:val="00786E74"/>
    <w:rsid w:val="007916E0"/>
    <w:rsid w:val="007A5F34"/>
    <w:rsid w:val="007D1285"/>
    <w:rsid w:val="007E49E1"/>
    <w:rsid w:val="007F6DA7"/>
    <w:rsid w:val="008174D5"/>
    <w:rsid w:val="00885126"/>
    <w:rsid w:val="0089698B"/>
    <w:rsid w:val="008D48A9"/>
    <w:rsid w:val="00941A30"/>
    <w:rsid w:val="009715E9"/>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87858"/>
    <w:rsid w:val="00CF76CC"/>
    <w:rsid w:val="00D4505A"/>
    <w:rsid w:val="00D47A74"/>
    <w:rsid w:val="00D60E0B"/>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324E6B"/>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5CB529C"/>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BD54181"/>
    <w:rsid w:val="7E0C582A"/>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7"/>
    <w:link w:val="2"/>
    <w:qFormat/>
    <w:uiPriority w:val="99"/>
    <w:rPr>
      <w:rFonts w:ascii="方正小标宋简体" w:eastAsia="方正小标宋简体"/>
      <w:kern w:val="0"/>
      <w:sz w:val="24"/>
      <w:szCs w:val="24"/>
    </w:rPr>
  </w:style>
  <w:style w:type="character" w:customStyle="1" w:styleId="10">
    <w:name w:val="标题 2 Char"/>
    <w:basedOn w:val="7"/>
    <w:link w:val="3"/>
    <w:qFormat/>
    <w:uiPriority w:val="99"/>
    <w:rPr>
      <w:rFonts w:ascii="方正小标宋简体" w:eastAsia="方正小标宋简体"/>
      <w:kern w:val="0"/>
      <w:sz w:val="24"/>
      <w:szCs w:val="24"/>
    </w:r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885</Words>
  <Characters>5047</Characters>
  <Lines>42</Lines>
  <Paragraphs>11</Paragraphs>
  <TotalTime>67</TotalTime>
  <ScaleCrop>false</ScaleCrop>
  <LinksUpToDate>false</LinksUpToDate>
  <CharactersWithSpaces>5921</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2024-07-31T08:43:00Z</dcterms:created>
  <dc:creator>office</dc:creator>
  <cp:lastModifiedBy>Administrator</cp:lastModifiedBy>
  <dcterms:modified xsi:type="dcterms:W3CDTF">2024-08-28T09:53:21Z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y fmtid="{D5CDD505-2E9C-101B-9397-08002B2CF9AE}" pid="3" name="ICV">
    <vt:lpwstr>A44E0A178634409BBBA50D5636087390_13</vt:lpwstr>
  </property>
</Properties>
</file>