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天津市南开区人民法院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1、依法审判由基层人民法院管辖或由上级人民法院指定管辖的刑事、民事、行政等第一审案件。 </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2、受理不服本院生效裁定的各类申诉和再审申请，对其中确有错误的已发生法律效力的判决、裁定进行再审。</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3、依法审判由同级人民检察院按照审判监督程序提出的抗诉案件。</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4、依法行使司法执行权和司法决定权。 </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5、依法决定国家赔偿。 </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6、针对案件审理中发现的问题提出司法建议。 </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7、对本院的法官和其他工作人员进行思想政治教育，组织专业培训；按照权限管理法官和其他工作人员。</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8、负责本院纪检、监察工作。</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9、负责本院业务经费、物资装备的使用和管理。 </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10、承办其他应由我院负责的工作。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天津市南开区人民法院内设13个职能处室。纳入天津市南开区人民法院2023年度部门决算编制范围的单位包括：</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天津市南开区人民法院(本级)。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1.天津市南开区人民法院2023年度政府性基金预算财政拨款收入支出决算表为空表。</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2.天津市南开区人民法院2023年度国有资本经营预算财政拨款收入支出决算表为空表。</w:t>
      </w:r>
    </w:p>
    <w:p>
      <w:pPr>
        <w:widowControl/>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天津市南开区人民法院2023年度收入、支出决算总计98,284,217.43元，与2022年度相比，收、支总计各增加5,082,259.29元，增长5.45%，主要原因是：2023年度在职人员增多，相应人员经费收支增加。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天津市南开区人民法院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98,284,217.43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年度相比增加5,082,259.29元，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：2023年度在职人员增加，人员经费需求增高。</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98,274,425.48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9,791.95元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天津市南开区人民法院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年度本年支出合计98,283,935.89元，与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年度相比增加5,086,222.28元，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2023年度在职人员增加，人员经费支出相应增加。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92,571,817.19元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占94.19%；</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5,712,118.70元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占5.81%。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天津市南开区人民法院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98,274,425.48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年度相比，财政拨款收、支总计各增加5,134,091.65元，增长5.51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在职人员增加，人员经费支出增加。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天津市南开区人民法院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98,274,425.48</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sz w:val="30"/>
          <w:szCs w:val="30"/>
        </w:rPr>
        <w:t>一般公共预算财政拨款支出增加</w:t>
      </w:r>
      <w:r>
        <w:rPr>
          <w:rFonts w:hint="eastAsia" w:ascii="Times New Roman" w:hAnsi="Times New Roman" w:eastAsia="仿宋_GB2312" w:cs="仿宋_GB2312"/>
          <w:sz w:val="30"/>
          <w:szCs w:val="30"/>
        </w:rPr>
        <w:t>5,134,091.65元，增长5.51</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：在职人员增加，人员经费支出相应增多。</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98,274,425.48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公共安全支出（类</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86,176,300.76元，占87.</w:t>
      </w:r>
      <w:r>
        <w:rPr>
          <w:rFonts w:ascii="Times New Roman" w:hAnsi="Times New Roman" w:eastAsia="仿宋_GB2312" w:cs="仿宋_GB2312"/>
          <w:sz w:val="30"/>
          <w:szCs w:val="30"/>
        </w:rPr>
        <w:t>70</w:t>
      </w:r>
      <w:r>
        <w:rPr>
          <w:rFonts w:hint="eastAsia" w:ascii="Times New Roman" w:hAnsi="Times New Roman" w:eastAsia="仿宋_GB2312" w:cs="仿宋_GB2312"/>
          <w:sz w:val="30"/>
          <w:szCs w:val="30"/>
        </w:rPr>
        <w:t>%；社会保障和就业支出（类</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7,358,425.44元，占7.58%；卫生健康支出（类</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4,739,699.28元，占4.82%。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89,295,000.00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98,274,425.48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110.06%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1. 公共安全支出(类)法院(款)行政运行(项)年初预算为72,446,000.00元，支出决算为80,470,182.06元，完成年初预算的111.08 %，决算数大于年初预算数的主要原因是人员增加，基本支出增加。 </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 公共安全支出(类)法院(款)案件审判(项)年初预算为5,585,000.00元，支出决算为5,2</w:t>
      </w:r>
      <w:r>
        <w:rPr>
          <w:rFonts w:ascii="Times New Roman" w:hAnsi="Times New Roman" w:eastAsia="仿宋_GB2312" w:cs="仿宋_GB2312"/>
          <w:sz w:val="30"/>
          <w:szCs w:val="30"/>
        </w:rPr>
        <w:t>75</w:t>
      </w:r>
      <w:r>
        <w:rPr>
          <w:rFonts w:hint="eastAsia" w:ascii="Times New Roman" w:hAnsi="Times New Roman" w:eastAsia="仿宋_GB2312" w:cs="仿宋_GB2312"/>
          <w:sz w:val="30"/>
          <w:szCs w:val="30"/>
        </w:rPr>
        <w:t>,768.70元，完成年初预算的94.</w:t>
      </w:r>
      <w:r>
        <w:rPr>
          <w:rFonts w:ascii="Times New Roman" w:hAnsi="Times New Roman" w:eastAsia="仿宋_GB2312" w:cs="仿宋_GB2312"/>
          <w:sz w:val="30"/>
          <w:szCs w:val="30"/>
        </w:rPr>
        <w:t>46</w:t>
      </w:r>
      <w:r>
        <w:rPr>
          <w:rFonts w:hint="eastAsia" w:ascii="Times New Roman" w:hAnsi="Times New Roman" w:eastAsia="仿宋_GB2312" w:cs="仿宋_GB2312"/>
          <w:sz w:val="30"/>
          <w:szCs w:val="30"/>
        </w:rPr>
        <w:t>%，决算数小于年初预算数的主要原因是响应政府过紧日子政策，压减经费支出，调整优化业务支出结构。</w:t>
      </w:r>
    </w:p>
    <w:p>
      <w:pPr>
        <w:autoSpaceDE w:val="0"/>
        <w:autoSpaceDN w:val="0"/>
        <w:adjustRightInd w:val="0"/>
        <w:spacing w:line="600" w:lineRule="exact"/>
        <w:ind w:firstLine="450" w:firstLineChars="15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3.公共安全支出(类)法院(款)其他法院支出（项）年初预算为0.00元，追加</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 xml:space="preserve">430,350.00元，支出决算为430,350.00元，完成追加预算的100.00%，决算数等于追加预算数的主要原因是政法干警病逝，给予一次性抚恤金。 </w:t>
      </w:r>
    </w:p>
    <w:p>
      <w:pPr>
        <w:autoSpaceDE w:val="0"/>
        <w:autoSpaceDN w:val="0"/>
        <w:adjustRightInd w:val="0"/>
        <w:spacing w:line="600" w:lineRule="exact"/>
        <w:ind w:firstLine="750" w:firstLineChars="25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社会保障和就业支出(类)行政事业单位养老支出(款)机关事业单位基本养老保险缴费支出(项)年初预算为4,920,000.00元，支出决算为4,905,616.96元，完成年初预算的99.71%，决算数小于年初预算数的主要原因是退休人员和新入职人员各有增加，基本养老保险缴费支出产生相应增减变化后整体比预算数减少。</w:t>
      </w:r>
    </w:p>
    <w:p>
      <w:pPr>
        <w:autoSpaceDE w:val="0"/>
        <w:autoSpaceDN w:val="0"/>
        <w:adjustRightInd w:val="0"/>
        <w:spacing w:line="600" w:lineRule="exact"/>
        <w:ind w:firstLine="750" w:firstLineChars="25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5.社会保障和就业支出(类)行政事业单位养老支出(款)机关事业单位职业年金缴费支出(项)年初预算为2,460,000.00元，支出决算为2,452,808.48元，完成年初预算的99.71 %，决算数小于年初预算数的主要原因是退休人员和新入职人员各有增加，职业年金支出产生相应增减变化后整体比预算数减少。</w:t>
      </w:r>
    </w:p>
    <w:p>
      <w:pPr>
        <w:autoSpaceDE w:val="0"/>
        <w:autoSpaceDN w:val="0"/>
        <w:adjustRightInd w:val="0"/>
        <w:spacing w:line="600" w:lineRule="exact"/>
        <w:ind w:firstLine="450" w:firstLineChars="15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6.卫生健康支出(类)行政事业单位医疗(款)行政单位医疗(项)年初预算为3,269,000.00元，支出决算为4,126,497.16 元，完成年初预算的126.23%，决算数大于年初预算数的主要原因是年中行政单位医疗缴费增加。</w:t>
      </w:r>
    </w:p>
    <w:p>
      <w:pPr>
        <w:autoSpaceDE w:val="0"/>
        <w:autoSpaceDN w:val="0"/>
        <w:adjustRightInd w:val="0"/>
        <w:spacing w:line="600" w:lineRule="exact"/>
        <w:ind w:firstLine="450" w:firstLineChars="15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 xml:space="preserve"> 7.卫生健康支出(类)行政事业单位医疗(款)公务员医疗补助(项)年初预算为615,000.00元，支出决算为613,202.12元，完成年初预算的99.71%，决算数小于年初预算数的主要原因是退休人员和新入职人员各有增加，公务员医疗补助缴费产生相应增减变化后整体比预算数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both"/>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天津市南开区人民法院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92,568,306.78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年度相比增加5,960,600.17元，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在职人员增加，经费支出相应增多。</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80,797,209.36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生活补助、抚恤金、医疗费补助、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11,771,097.42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维修(护)费、租赁费、专用燃料费、劳务费、工会经费、福利费、公务用车运行维护费、其他交通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天津市南开区人民法院2023年度无政府性基金预算财政拨款收入、支出和结转结余。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pPr>
      <w:r>
        <w:rPr>
          <w:rFonts w:hint="eastAsia" w:ascii="Times New Roman" w:hAnsi="Times New Roman" w:eastAsia="仿宋_GB2312" w:cs="仿宋_GB2312"/>
          <w:sz w:val="30"/>
          <w:szCs w:val="30"/>
        </w:rPr>
        <w:t>天津市南开区人民法院2023年度无国有资本经营预算财政拨款收入、支出和结转结余。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204,000.00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201,972.52</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2,027.48</w:t>
      </w:r>
      <w:r>
        <w:rPr>
          <w:rFonts w:hint="eastAsia" w:ascii="Times New Roman" w:hAnsi="Times New Roman" w:eastAsia="仿宋_GB2312" w:cs="仿宋_GB2312"/>
          <w:kern w:val="0"/>
          <w:sz w:val="30"/>
          <w:szCs w:val="30"/>
        </w:rPr>
        <w:t>元，完成预算的99.01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86.66元，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严格管理“三公”支出，厉行节约，缩减开支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案件增加</w:t>
      </w:r>
      <w:r>
        <w:rPr>
          <w:rFonts w:ascii="Times New Roman" w:hAnsi="Times New Roman" w:eastAsia="仿宋_GB2312" w:cs="仿宋_GB2312"/>
          <w:sz w:val="30"/>
          <w:szCs w:val="30"/>
        </w:rPr>
        <w:t>导致费用增加</w:t>
      </w:r>
      <w:r>
        <w:rPr>
          <w:rFonts w:hint="eastAsia" w:ascii="Times New Roman" w:hAnsi="Times New Roman" w:eastAsia="仿宋_GB2312" w:cs="仿宋_GB2312"/>
          <w:sz w:val="30"/>
          <w:szCs w:val="30"/>
        </w:rPr>
        <w:t>，单位严格控制预算收支。</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both"/>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202,000.00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201,972.52</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27.48</w:t>
      </w:r>
      <w:r>
        <w:rPr>
          <w:rFonts w:hint="eastAsia" w:ascii="Times New Roman" w:hAnsi="Times New Roman" w:eastAsia="仿宋_GB2312" w:cs="仿宋_GB2312"/>
          <w:kern w:val="0"/>
          <w:sz w:val="30"/>
          <w:szCs w:val="30"/>
        </w:rPr>
        <w:t>元，完成预算的99.99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86.66元，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公务用车维修费比预期减少。</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案件增加</w:t>
      </w:r>
      <w:r>
        <w:rPr>
          <w:rFonts w:ascii="Times New Roman" w:hAnsi="Times New Roman" w:eastAsia="仿宋_GB2312" w:cs="仿宋_GB2312"/>
          <w:sz w:val="30"/>
          <w:szCs w:val="30"/>
        </w:rPr>
        <w:t>导致费用增加</w:t>
      </w:r>
      <w:r>
        <w:rPr>
          <w:rFonts w:hint="eastAsia" w:ascii="Times New Roman" w:hAnsi="Times New Roman" w:eastAsia="仿宋_GB2312" w:cs="仿宋_GB2312"/>
          <w:sz w:val="30"/>
          <w:szCs w:val="30"/>
        </w:rPr>
        <w:t>，单位严格控制预算收支。</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202,000.00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201,972.52</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27.48</w:t>
      </w:r>
      <w:r>
        <w:rPr>
          <w:rFonts w:hint="eastAsia" w:ascii="Times New Roman" w:hAnsi="Times New Roman" w:eastAsia="仿宋_GB2312" w:cs="仿宋_GB2312"/>
          <w:kern w:val="0"/>
          <w:sz w:val="30"/>
          <w:szCs w:val="30"/>
        </w:rPr>
        <w:t>元，完成预算的99.99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86.66元，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公务用车维修费比预期减少。</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案件增加</w:t>
      </w:r>
      <w:r>
        <w:rPr>
          <w:rFonts w:ascii="Times New Roman" w:hAnsi="Times New Roman" w:eastAsia="仿宋_GB2312" w:cs="仿宋_GB2312"/>
          <w:sz w:val="30"/>
          <w:szCs w:val="30"/>
        </w:rPr>
        <w:t>导致费用增加</w:t>
      </w:r>
      <w:r>
        <w:rPr>
          <w:rFonts w:hint="eastAsia" w:ascii="Times New Roman" w:hAnsi="Times New Roman" w:eastAsia="仿宋_GB2312" w:cs="仿宋_GB2312"/>
          <w:sz w:val="30"/>
          <w:szCs w:val="30"/>
        </w:rPr>
        <w:t>，单位严格控制预算收支。</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sz w:val="30"/>
          <w:szCs w:val="30"/>
          <w:lang w:eastAsia="zh-CN"/>
        </w:rPr>
        <w:t>。</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both"/>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天津市南开区人民法院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11,771,097.42</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年增加286,056.43元，增长2.49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在职人员增多，相应日常公用经费支出增大。</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both"/>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天津市南开区人民法院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8,665,576.00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1,855,600.00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6,809,976.00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8,665,576.00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3,650,000.00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42.12%</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w:t>
      </w:r>
      <w:bookmarkStart w:id="0" w:name="_GoBack"/>
      <w:bookmarkEnd w:id="0"/>
      <w:r>
        <w:rPr>
          <w:rFonts w:hint="eastAsia" w:ascii="Times New Roman" w:hAnsi="Times New Roman" w:eastAsia="仿宋_GB2312" w:cs="仿宋_GB2312"/>
          <w:kern w:val="0"/>
          <w:sz w:val="30"/>
          <w:szCs w:val="30"/>
        </w:rPr>
        <w:t>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日，天津市南开区人民法院共有车辆</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17</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根据预算绩效管理要求，天津市南开区人民法院</w:t>
      </w:r>
      <w:r>
        <w:rPr>
          <w:rFonts w:ascii="Times New Roman" w:hAnsi="Times New Roman" w:eastAsia="仿宋_GB2312" w:cs="仿宋_GB2312"/>
          <w:kern w:val="0"/>
          <w:sz w:val="30"/>
          <w:szCs w:val="30"/>
        </w:rPr>
        <w:t>2023年度已对6个市级项目开展绩效自评，涉及金额940</w:t>
      </w:r>
      <w:r>
        <w:rPr>
          <w:rFonts w:hint="eastAsia" w:ascii="Times New Roman" w:hAnsi="Times New Roman" w:eastAsia="仿宋_GB2312" w:cs="仿宋_GB2312"/>
          <w:kern w:val="0"/>
          <w:sz w:val="30"/>
          <w:szCs w:val="30"/>
          <w:lang w:val="en-US" w:eastAsia="zh-CN"/>
        </w:rPr>
        <w:t>,</w:t>
      </w:r>
      <w:r>
        <w:rPr>
          <w:rFonts w:ascii="Times New Roman" w:hAnsi="Times New Roman" w:eastAsia="仿宋_GB2312" w:cs="仿宋_GB2312"/>
          <w:kern w:val="0"/>
          <w:sz w:val="30"/>
          <w:szCs w:val="30"/>
        </w:rPr>
        <w:t>219.5元，自评结果已随部门决算一并公开</w:t>
      </w:r>
      <w:r>
        <w:rPr>
          <w:rFonts w:hint="eastAsia" w:ascii="Times New Roman" w:hAnsi="Times New Roman" w:eastAsia="仿宋_GB2312" w:cs="仿宋_GB2312"/>
          <w:kern w:val="0"/>
          <w:sz w:val="30"/>
          <w:szCs w:val="30"/>
        </w:rPr>
        <w:t>。本部门2</w:t>
      </w:r>
      <w:r>
        <w:rPr>
          <w:rFonts w:ascii="Times New Roman" w:hAnsi="Times New Roman" w:eastAsia="仿宋_GB2312" w:cs="仿宋_GB2312"/>
          <w:kern w:val="0"/>
          <w:sz w:val="30"/>
          <w:szCs w:val="30"/>
        </w:rPr>
        <w:t>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天津市南开区人民法院不属于乡、镇、街级单位，不涉及公开2023年度教育、医疗卫生、社会保障和就业、住房保障、涉农补贴等民生支出情况。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宋体" w:cs="宋体"/>
          <w:kern w:val="0"/>
          <w:sz w:val="24"/>
          <w:szCs w:val="24"/>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1DA4"/>
    <w:rsid w:val="000B5C71"/>
    <w:rsid w:val="000D4B98"/>
    <w:rsid w:val="00127EFA"/>
    <w:rsid w:val="00142888"/>
    <w:rsid w:val="00152EEB"/>
    <w:rsid w:val="00153077"/>
    <w:rsid w:val="00167CB7"/>
    <w:rsid w:val="001A0E4F"/>
    <w:rsid w:val="001B31D9"/>
    <w:rsid w:val="001B5C3C"/>
    <w:rsid w:val="001C0399"/>
    <w:rsid w:val="001D4FCD"/>
    <w:rsid w:val="001D587E"/>
    <w:rsid w:val="00204A4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12076"/>
    <w:rsid w:val="00654D17"/>
    <w:rsid w:val="006623EC"/>
    <w:rsid w:val="006A094D"/>
    <w:rsid w:val="006D2409"/>
    <w:rsid w:val="006E65DB"/>
    <w:rsid w:val="00776FF3"/>
    <w:rsid w:val="0078156E"/>
    <w:rsid w:val="00786E74"/>
    <w:rsid w:val="007D1285"/>
    <w:rsid w:val="007E49E1"/>
    <w:rsid w:val="007E7C41"/>
    <w:rsid w:val="007F6DA7"/>
    <w:rsid w:val="008174D5"/>
    <w:rsid w:val="00885126"/>
    <w:rsid w:val="0089698B"/>
    <w:rsid w:val="008A776F"/>
    <w:rsid w:val="008D48A9"/>
    <w:rsid w:val="00941A30"/>
    <w:rsid w:val="00977DCC"/>
    <w:rsid w:val="009820CF"/>
    <w:rsid w:val="00982A8B"/>
    <w:rsid w:val="009A7ED3"/>
    <w:rsid w:val="009D74D7"/>
    <w:rsid w:val="00A57AE7"/>
    <w:rsid w:val="00AF71AE"/>
    <w:rsid w:val="00B33C70"/>
    <w:rsid w:val="00B75228"/>
    <w:rsid w:val="00B811F1"/>
    <w:rsid w:val="00B81B9F"/>
    <w:rsid w:val="00BC119C"/>
    <w:rsid w:val="00BC763A"/>
    <w:rsid w:val="00BC7D6F"/>
    <w:rsid w:val="00BD3CAC"/>
    <w:rsid w:val="00BF697A"/>
    <w:rsid w:val="00C52E77"/>
    <w:rsid w:val="00C65A44"/>
    <w:rsid w:val="00C76AC3"/>
    <w:rsid w:val="00C83EB4"/>
    <w:rsid w:val="00C96A03"/>
    <w:rsid w:val="00D4505A"/>
    <w:rsid w:val="00D65B41"/>
    <w:rsid w:val="00DC3234"/>
    <w:rsid w:val="00DC3CD0"/>
    <w:rsid w:val="00DD60B5"/>
    <w:rsid w:val="00E7602B"/>
    <w:rsid w:val="00E964B2"/>
    <w:rsid w:val="00EA6549"/>
    <w:rsid w:val="00EF72EB"/>
    <w:rsid w:val="00F007FE"/>
    <w:rsid w:val="00FE19D9"/>
    <w:rsid w:val="017D4A3B"/>
    <w:rsid w:val="01A10E80"/>
    <w:rsid w:val="029D518A"/>
    <w:rsid w:val="03311B3F"/>
    <w:rsid w:val="03901927"/>
    <w:rsid w:val="05070044"/>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2B7E6D"/>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881</Words>
  <Characters>5026</Characters>
  <Lines>41</Lines>
  <Paragraphs>11</Paragraphs>
  <TotalTime>30</TotalTime>
  <ScaleCrop>false</ScaleCrop>
  <LinksUpToDate>false</LinksUpToDate>
  <CharactersWithSpaces>5896</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2024-07-29T09:34:00Z</dcterms:created>
  <dc:creator>office</dc:creator>
  <cp:lastModifiedBy>john</cp:lastModifiedBy>
  <dcterms:modified xsi:type="dcterms:W3CDTF">2024-08-23T02:15:53Z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y fmtid="{D5CDD505-2E9C-101B-9397-08002B2CF9AE}" pid="3" name="ICV">
    <vt:lpwstr>AB1CEFD3CDAB4BAE930251BF72EC4B3C_13</vt:lpwstr>
  </property>
</Properties>
</file>