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天津市河东区人民法院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我院作为国家审判机关，依法独立行使审判权，对区人民代表大会及其常务委员会负责并报告工作，区人民法院审判工作受天津市高级人民法院和天津市第二中级人民法院的监督。其主要职能是：</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1、依法审判法律规定由区法院管辖的或由上级法院指定管辖的刑事、民事、行政等第一审案件。</w:t>
      </w:r>
    </w:p>
    <w:p>
      <w:pPr>
        <w:numPr>
          <w:ilvl w:val="0"/>
          <w:numId w:val="1"/>
        </w:numPr>
        <w:autoSpaceDE w:val="0"/>
        <w:autoSpaceDN w:val="0"/>
        <w:adjustRightInd w:val="0"/>
        <w:spacing w:line="600" w:lineRule="exact"/>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受理和审查各类告诉、申诉和再审申请案件，处理来信来访；对本院确有错误并已经发生法律效力的判决、裁定决定再审。</w:t>
      </w:r>
    </w:p>
    <w:p>
      <w:pPr>
        <w:numPr>
          <w:ilvl w:val="0"/>
          <w:numId w:val="1"/>
        </w:num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依法行使司法执行权与司法决定权。</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依法决定国家赔偿。</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针对案件审理中发现的问题提出司法建议。</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负责本院审判工作的调查研究，总结审判工作经验；参加管辖区内的社会治安综合治理。</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按照干部管理权限管理本院的法官和其他工作人员；加强队伍的思想、组织、纪律、作风建设，对本院法官和其他工作人员进行思想政治教育和专业培训工作。</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负责本院的纪检监察工作。</w:t>
      </w:r>
    </w:p>
    <w:p>
      <w:pPr>
        <w:numPr>
          <w:ilvl w:val="0"/>
          <w:numId w:val="1"/>
        </w:numPr>
        <w:autoSpaceDE w:val="0"/>
        <w:autoSpaceDN w:val="0"/>
        <w:adjustRightInd w:val="0"/>
        <w:spacing w:line="600" w:lineRule="exact"/>
        <w:ind w:left="0" w:leftChars="0" w:firstLine="0" w:firstLine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负责本院业务经费、物资装备的使用和管理。</w:t>
      </w:r>
    </w:p>
    <w:p>
      <w:pPr>
        <w:numPr>
          <w:ilvl w:val="0"/>
          <w:numId w:val="0"/>
        </w:numPr>
        <w:autoSpaceDE w:val="0"/>
        <w:autoSpaceDN w:val="0"/>
        <w:adjustRightInd w:val="0"/>
        <w:spacing w:line="600" w:lineRule="exact"/>
        <w:ind w:left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10、承办其他应由区法院负责的工作。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天津市河东区人民法院内设13个职能处室。纳入天津市河东区人民法院2023年度部门决算编制范围的单位包括：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1.天津市河东区人民法院部门(本级)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1.天津市河东区人民法院2023年度政府性基金预算财政拨款收入支出决算表为空表。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2.天津市河东区人民法院2023年度国有资本经营预算财政拨款收入支出决算表为空表。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天津市河东区人民法院2023年度收入、支出决算总计</w:t>
      </w:r>
      <w:r>
        <w:rPr>
          <w:rFonts w:hint="eastAsia" w:ascii="Times New Roman" w:hAnsi="Times New Roman" w:eastAsia="仿宋_GB2312" w:cs="仿宋_GB2312"/>
          <w:sz w:val="30"/>
          <w:szCs w:val="30"/>
        </w:rPr>
        <w:t>85,989,205.84元，与2022年度相比，收、支总计各增加4,691,858.07元，增长5.77%，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：案件数量增加，成本也随之增加。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85,989,205.84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年度相比增加4,691,858.07元，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：案件数量增加，成本也随之增加。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85,981,747.34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7,458.50元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年度本年支出合计85,984,473.37元，与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年度相比增加4,687,803.50元，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案件数量增加，成本也随之增加。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80,785,472.84元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占93.95%；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5,199,000.53元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占6.05%。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85,981,747.34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年度相比，财政拨款收、支总计各增加4,693,873.83元，增长5.77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案件数量增加，成本也随之增加。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计85,981,747.34元，占本年支出合计的100.00%，与2022年度相比，一般公共预算财政拨款支出增加4,693,873.83元，增长5.77%，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：案件数量增加，成本也随之增加。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85,981,747.34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684.08元，占89.53%；社会保障和就业支出5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789.29元，占6.8</w:t>
      </w: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rPr>
        <w:t>%；卫生健康支出3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元，占3.6</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81,166,000.00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85,981,747.34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105.93%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行政运行年初预算为66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425.05元，完成年初预算的107.78%，决算数大于年初预算数的主要原因是案件数量不断增加，相关费用也随之增加。。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2.案件审判年初预算为4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193</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元，完成年初预算的114.76%，决算数大于年初预算数的主要原因是案件数量不断增加，相关费用也随之增加。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3.其他法院支出年初预算为0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元，追加预算491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元，支出决算为491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元，决算数等于追加预算数的主要原因是年中有老干部去世，新申请的抚恤金。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4.机关事业单位基本养老保险缴费支出年初预算为4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789.29元，完成年初预算的85.73%，决算数小于年初预算数的主要原因是有退休人员。</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5.机关事业单位职业年金缴费支出年初预算为2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286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元，完成年初预算的87.23%，决算数小于年初预算数的主要原因是有退休人员。</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6.行政单位医疗年初预算为3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，完成年初预算的84.54%，决算数小于年初预算数的主要原因是有退休人员。</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7.公务员医疗补助年初预算为572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元，支出决算为522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元，完成年初预算的91.26%，决算数小于年初预算数的主要原因是有退休人员。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80,785,214.34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年度相比增加4,217,019.13元，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案件数量增加，成本也随之增加。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69,983,557.20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生活补助、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10,801,657.14</w:t>
      </w:r>
      <w:r>
        <w:rPr>
          <w:rFonts w:hint="eastAsia" w:ascii="Times New Roman" w:hAnsi="Times New Roman" w:eastAsia="仿宋_GB2312" w:cs="仿宋_GB2312"/>
          <w:kern w:val="0"/>
          <w:sz w:val="30"/>
          <w:szCs w:val="30"/>
        </w:rPr>
        <w:t>元，主要包括</w:t>
      </w:r>
      <w:bookmarkStart w:id="0" w:name="_GoBack"/>
      <w:bookmarkEnd w:id="0"/>
      <w:r>
        <w:rPr>
          <w:rFonts w:hint="eastAsia" w:ascii="Times New Roman" w:hAnsi="Times New Roman" w:eastAsia="仿宋_GB2312" w:cs="仿宋_GB2312"/>
          <w:sz w:val="30"/>
          <w:szCs w:val="30"/>
        </w:rPr>
        <w:t>办公费、印刷费、水费、电费、邮电费、物业管理费、差旅费、维修(护)费、劳务费、委托业务费、工会经费、福利费、公务用车运行维护费、其他交通费用、其他商品和服务支出。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天津市河东区人民法院2023年度无政府性基金预算财政拨款收入、支出和结转结余。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149,857.14</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142.86</w:t>
      </w:r>
      <w:r>
        <w:rPr>
          <w:rFonts w:hint="eastAsia" w:ascii="Times New Roman" w:hAnsi="Times New Roman" w:eastAsia="仿宋_GB2312" w:cs="仿宋_GB2312"/>
          <w:kern w:val="0"/>
          <w:sz w:val="30"/>
          <w:szCs w:val="30"/>
        </w:rPr>
        <w:t>元，完成预算的99.90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449,610.20元，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75.00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w:t>
      </w:r>
      <w:r>
        <w:rPr>
          <w:rFonts w:hint="eastAsia" w:ascii="Times New Roman" w:hAnsi="Times New Roman" w:eastAsia="仿宋_GB2312" w:cs="仿宋_GB2312"/>
          <w:kern w:val="0"/>
          <w:sz w:val="30"/>
          <w:szCs w:val="30"/>
        </w:rPr>
        <w:t>，合理安排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149,857.14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142.86</w:t>
      </w:r>
      <w:r>
        <w:rPr>
          <w:rFonts w:hint="eastAsia" w:ascii="Times New Roman" w:hAnsi="Times New Roman" w:eastAsia="仿宋_GB2312" w:cs="仿宋_GB2312"/>
          <w:kern w:val="0"/>
          <w:sz w:val="30"/>
          <w:szCs w:val="30"/>
        </w:rPr>
        <w:t>元，完成预算的99.9</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449,610.20元，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75.0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149,857.14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142.86</w:t>
      </w:r>
      <w:r>
        <w:rPr>
          <w:rFonts w:hint="eastAsia" w:ascii="Times New Roman" w:hAnsi="Times New Roman" w:eastAsia="仿宋_GB2312" w:cs="仿宋_GB2312"/>
          <w:kern w:val="0"/>
          <w:sz w:val="30"/>
          <w:szCs w:val="30"/>
        </w:rPr>
        <w:t>元，完成预算的99.9</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108,010.20元，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41.89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341,600.00元，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天津市河东区人民法院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10,801,657.14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年增加190,400.01元，增长1.79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案件数量不断增加，相关费用也随之增加。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天津市河东区人民法院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8,214,400.00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358,400.00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7,856,000.00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日，天津市河东区人民法院共有车辆</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20</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lang w:val="en-US" w:eastAsia="zh-CN"/>
        </w:rPr>
      </w:pPr>
      <w:r>
        <w:rPr>
          <w:rFonts w:hint="eastAsia" w:ascii="Times New Roman" w:hAnsi="Times New Roman" w:eastAsia="仿宋_GB2312" w:cs="仿宋_GB2312"/>
          <w:sz w:val="30"/>
          <w:szCs w:val="30"/>
        </w:rPr>
        <w:t>根据预算绩效管理要求，天津市河东区人民法院2023年度已对2个市级项目开展绩效自评，涉及金额951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w:t>
      </w:r>
      <w:r>
        <w:rPr>
          <w:rFonts w:hint="eastAsia" w:ascii="Times New Roman" w:hAnsi="Times New Roman" w:eastAsia="仿宋_GB2312" w:cs="仿宋_GB2312"/>
          <w:sz w:val="30"/>
          <w:szCs w:val="30"/>
          <w:lang w:eastAsia="zh-CN"/>
        </w:rPr>
        <w:t>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D12A"/>
    <w:multiLevelType w:val="singleLevel"/>
    <w:tmpl w:val="33CCD12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2B3"/>
    <w:rsid w:val="00264B59"/>
    <w:rsid w:val="002A4997"/>
    <w:rsid w:val="002E6086"/>
    <w:rsid w:val="00302490"/>
    <w:rsid w:val="003227B2"/>
    <w:rsid w:val="003536BE"/>
    <w:rsid w:val="003B25FB"/>
    <w:rsid w:val="00487D2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275D3"/>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45C3A"/>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DB402E"/>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0D3D7B"/>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823</Words>
  <Characters>4697</Characters>
  <Lines>39</Lines>
  <Paragraphs>11</Paragraphs>
  <TotalTime>16</TotalTime>
  <ScaleCrop>false</ScaleCrop>
  <LinksUpToDate>false</LinksUpToDate>
  <CharactersWithSpaces>5509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2024-08-07T07:49:00Z</dcterms:created>
  <dc:creator>office</dc:creator>
  <cp:lastModifiedBy>Administrator</cp:lastModifiedBy>
  <dcterms:modified xsi:type="dcterms:W3CDTF">2024-08-30T02:01:08Z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A44E0A178634409BBBA50D5636087390_13</vt:lpwstr>
  </property>
</Properties>
</file>