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李伟强，男，1976年1月22日出生，汉族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广东省湛江市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2020年12月25日作出（2020）桂06刑初13号刑事判决，以被告人李伟强犯走私普通货物、物品罪，判处有期徒刑十年，并处罚金人民币六百万元。宣判后，被告人李伟强不服，提出上诉。广西壮族自治区高级人民法院经过二审审理，于2021年9月13日作出（2021）桂刑终73号刑事判决，以被告人李伟强犯走私普通货物、物品罪，判处有期徒刑九年，并处罚金人民币六百万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2021年12月15日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2021年12月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，财产性判项已履行完毕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但该犯违反海关法规，逃避海关监管，与他人共同走私香螺入境，偷逃应缴税额特别巨大，在共同犯罪中起主要作用，是主犯，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《最高人民法院关于适用〈中华人民共和国刑事诉讼法〉的解释》第五百三十六条，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李伟强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2019年6月21日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2027年12月20日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B46A8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B4947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9FFB304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84B09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0B7D3A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2024-07-25T17:34:17Z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