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99D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Toc82963265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附件1</w:t>
      </w:r>
    </w:p>
    <w:p w14:paraId="793D75A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0"/>
        <w:jc w:val="center"/>
        <w:textAlignment w:val="auto"/>
        <w:rPr>
          <w:rFonts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</w:rPr>
        <w:t>汕头市龙湖区人民法院等级保护测评项目采购公告</w:t>
      </w:r>
    </w:p>
    <w:bookmarkEnd w:id="1"/>
    <w:p w14:paraId="53525B6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</w:p>
    <w:p w14:paraId="159FEE7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因本项目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不属于政府集中采购目录内的项目且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未达到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分散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采购限额标准，拟自行采购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。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现向社会公开邀请符合资质的单位参加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竞价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采购人汕头市龙湖区人民法院通过内部评议方式选择</w:t>
      </w:r>
      <w:r>
        <w:rPr>
          <w:rFonts w:hint="eastAsia" w:ascii="仿宋" w:hAnsi="仿宋" w:eastAsia="仿宋" w:cs="仿宋"/>
          <w:b/>
          <w:color w:val="auto"/>
          <w:sz w:val="31"/>
          <w:szCs w:val="31"/>
          <w:u w:val="single"/>
          <w:shd w:val="clear" w:color="auto" w:fill="FFFFFF"/>
          <w:lang w:val="en-US" w:eastAsia="zh-CN"/>
        </w:rPr>
        <w:t>汕头市龙湖区人民法院</w:t>
      </w:r>
      <w:r>
        <w:rPr>
          <w:rFonts w:hint="eastAsia" w:ascii="仿宋" w:hAnsi="仿宋" w:eastAsia="仿宋" w:cs="仿宋"/>
          <w:b/>
          <w:color w:val="auto"/>
          <w:sz w:val="31"/>
          <w:szCs w:val="31"/>
          <w:u w:val="single"/>
          <w:shd w:val="clear" w:color="auto" w:fill="FFFFFF"/>
        </w:rPr>
        <w:t>等级保护测评项目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成交供应商，欢迎符合资格条件的供应商投标。</w:t>
      </w:r>
    </w:p>
    <w:p w14:paraId="695E3AE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</w:p>
    <w:p w14:paraId="4B85682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left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一、采购项目名称：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汕头市龙湖区人民法院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等级保护测评项目</w:t>
      </w:r>
    </w:p>
    <w:p w14:paraId="48CC57A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left="645"/>
        <w:rPr>
          <w:rFonts w:ascii="Tahoma" w:hAnsi="Tahoma" w:eastAsia="仿宋" w:cs="Tahoma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二、采购项目总预算：</w:t>
      </w:r>
      <w:r>
        <w:rPr>
          <w:rFonts w:hint="eastAsia" w:ascii="仿宋" w:hAnsi="仿宋" w:eastAsia="仿宋" w:cs="仿宋"/>
          <w:b/>
          <w:bCs/>
          <w:color w:val="auto"/>
          <w:sz w:val="31"/>
          <w:szCs w:val="31"/>
        </w:rPr>
        <w:t>人民币</w:t>
      </w:r>
      <w:r>
        <w:rPr>
          <w:rFonts w:hint="eastAsia" w:ascii="仿宋" w:hAnsi="仿宋" w:eastAsia="仿宋" w:cs="仿宋"/>
          <w:b/>
          <w:bCs/>
          <w:color w:val="auto"/>
          <w:sz w:val="31"/>
          <w:szCs w:val="31"/>
          <w:lang w:val="en-US" w:eastAsia="zh-CN"/>
        </w:rPr>
        <w:t>6.9</w:t>
      </w:r>
      <w:r>
        <w:rPr>
          <w:rFonts w:hint="eastAsia" w:ascii="仿宋" w:hAnsi="仿宋" w:eastAsia="仿宋" w:cs="仿宋"/>
          <w:b/>
          <w:bCs/>
          <w:color w:val="auto"/>
          <w:sz w:val="31"/>
          <w:szCs w:val="31"/>
        </w:rPr>
        <w:t>万元</w:t>
      </w:r>
    </w:p>
    <w:p w14:paraId="737729E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三、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服务内容</w:t>
      </w:r>
    </w:p>
    <w:p w14:paraId="774F4D8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jc w:val="both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根据《信息安全等级保护管理办法》（公通字[2007]43号）和《信息安全技术网络安全等级保护基本要求》（GBT22239-2019）等相关标准要求，在对信息系统进行详细的调研，充分了解业务应用的情况下，开展等级保护相关工作，包括如下工作内容：</w:t>
      </w:r>
    </w:p>
    <w:p w14:paraId="09CD8C1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系统定级备案；</w:t>
      </w:r>
    </w:p>
    <w:p w14:paraId="4868B0F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等保差距分析；</w:t>
      </w:r>
    </w:p>
    <w:p w14:paraId="4CDE970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达标整改咨询；</w:t>
      </w:r>
    </w:p>
    <w:p w14:paraId="27FD32B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出具《网络安全等级测评报告》。</w:t>
      </w:r>
    </w:p>
    <w:p w14:paraId="7E78F2E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协助定级：协助对汕头市龙湖区人民法院内部门户网站定级材料进行整理，并且指导完成定级备案。</w:t>
      </w:r>
    </w:p>
    <w:p w14:paraId="40FE761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二级等级测评：对汕头市龙湖区人民法院内部门户网站实施等级测评，找出系统安全保护措施与国家等级保护相关标准要求的差距。</w:t>
      </w:r>
    </w:p>
    <w:p w14:paraId="1214A61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协助整改：根据初次等级测评结果，协助对汕头市龙湖区人民法院内部门户网站进行整改指导，根据《信息安全技术 网络安全等级保护基本要求》(GBT22239-2019) 相关技术标准的要求，从“技术要求”和“管理要求”两个方面，对信息系统的安全风险进行分析，得出安全需求，制定安全整改方案并指导业主实施安全整改，协助客户针对安全管理制度，包括机构、人员、建设和运维等管理措施进行落实和完善，满足管理合规运营要求。</w:t>
      </w:r>
    </w:p>
    <w:p w14:paraId="59AB9EB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复测评：在汕头市龙湖区人民法院内部门户网站整改完成后，提供复测评服务，对整改结果进行验证，确认系统的安全防护措施已基本达到国家等级保护相关标准要求，并协助完成等级测评备案。</w:t>
      </w:r>
    </w:p>
    <w:p w14:paraId="38A8FF9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技术要求</w:t>
      </w:r>
    </w:p>
    <w:p w14:paraId="2A15126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jc w:val="both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本项目需要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遵循</w:t>
      </w: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下列法律法规及等级保护相关技术标准：</w:t>
      </w:r>
    </w:p>
    <w:p w14:paraId="308BBED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jc w:val="both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《中华人民共和国网络安全法》</w:t>
      </w:r>
    </w:p>
    <w:p w14:paraId="3711CEB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jc w:val="both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《中华人民共和国计算机信息系统安全保护条例》（国务院147号令）</w:t>
      </w:r>
    </w:p>
    <w:p w14:paraId="1A5B6B3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《信息安全等级保护管理办法》（公通字[2007]43号）</w:t>
      </w:r>
    </w:p>
    <w:p w14:paraId="369C365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《网络安全等级保护条例》（征求意见稿）</w:t>
      </w:r>
    </w:p>
    <w:p w14:paraId="37AFEB7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《信息安全技术 网络安全等级保护定级指南》</w:t>
      </w:r>
    </w:p>
    <w:p w14:paraId="4C5C029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《信息安全技术 网络安全等级保护基本要求》</w:t>
      </w:r>
    </w:p>
    <w:p w14:paraId="02375FE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《信息安全技术 网络安全等级保护测评要求》</w:t>
      </w:r>
    </w:p>
    <w:p w14:paraId="58A5923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《信息安全技术 网络安全等级保护安全设计技术要求》</w:t>
      </w:r>
    </w:p>
    <w:p w14:paraId="3FC50B2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《信息安全技术 网络安全等级保护测评过程指南》</w:t>
      </w:r>
    </w:p>
    <w:p w14:paraId="3769F75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五、工期要求</w:t>
      </w:r>
    </w:p>
    <w:p w14:paraId="22F00C8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本项目需在30个工作日内协助完成定级备案，在定级备案成功后30个工作日内完成初次等级测评并提交初评报告或问题清单，在汕头市龙湖区人民法院组织完成安全整改后30个工作日内完成等级测评复查工作并提交等级测评报告。</w:t>
      </w:r>
    </w:p>
    <w:p w14:paraId="55DF057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仿宋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六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、服务区域：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黄河路31号</w:t>
      </w:r>
    </w:p>
    <w:p w14:paraId="4E43407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、投标、评标</w:t>
      </w:r>
    </w:p>
    <w:p w14:paraId="4766B57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报名</w:t>
      </w:r>
    </w:p>
    <w:p w14:paraId="074D29A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本公告公示时间：202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日至202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日。</w:t>
      </w:r>
    </w:p>
    <w:p w14:paraId="5E3E346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报名截止时间：202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日17:30。</w:t>
      </w:r>
    </w:p>
    <w:p w14:paraId="62159C1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仿宋" w:cs="Tahoma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符合资格的供应商应当在报名时间截止前向采购人递交（或通过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邮递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方式）纸质投标资料（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含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报价单及营业执照等）用信封统一密封并加盖公章，</w:t>
      </w:r>
      <w:r>
        <w:rPr>
          <w:rFonts w:hint="eastAsia" w:ascii="仿宋" w:hAnsi="仿宋" w:eastAsia="仿宋" w:cs="仿宋"/>
          <w:b/>
          <w:bCs/>
          <w:color w:val="auto"/>
          <w:sz w:val="31"/>
          <w:szCs w:val="31"/>
          <w:shd w:val="clear" w:color="auto" w:fill="FFFFFF"/>
        </w:rPr>
        <w:t>封面请务必注明所报项目名称以及报名单位名称。</w:t>
      </w:r>
    </w:p>
    <w:p w14:paraId="1910B1A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left="645"/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报价要求</w:t>
      </w:r>
    </w:p>
    <w:p w14:paraId="33EED98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20" w:firstLineChars="200"/>
        <w:textAlignment w:val="center"/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shd w:val="clear" w:color="auto" w:fill="FFFFFF"/>
          <w:lang w:val="en-US" w:eastAsia="zh-CN" w:bidi="ar-SA"/>
        </w:rPr>
        <w:t>报价表格式自拟，超过总预算的报价无效，费用包括税费等一切费用。</w:t>
      </w:r>
    </w:p>
    <w:p w14:paraId="5AB296A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评标</w:t>
      </w:r>
    </w:p>
    <w:p w14:paraId="7618214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20" w:firstLineChars="200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由我院采购小组根据各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报价供应商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人的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文件，对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各供应商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的资质、报价等方面综合评比，集体讨论选定项目成交供应商。</w:t>
      </w:r>
    </w:p>
    <w:p w14:paraId="3F11EF2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递交投标资料地址及联系方式</w:t>
      </w:r>
    </w:p>
    <w:p w14:paraId="33A459B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地址：汕头市黄河路31号龙湖区人民法院综合办公室</w:t>
      </w:r>
    </w:p>
    <w:p w14:paraId="18CDB10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仿宋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联系人：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先生</w:t>
      </w:r>
    </w:p>
    <w:p w14:paraId="6CCD9EF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645"/>
        <w:rPr>
          <w:rFonts w:ascii="Tahoma" w:hAnsi="Tahoma" w:eastAsia="仿宋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联系电话：0754－88876460</w:t>
      </w:r>
    </w:p>
    <w:p w14:paraId="760A043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4320"/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 </w:t>
      </w:r>
    </w:p>
    <w:p w14:paraId="16861D9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4320"/>
        <w:rPr>
          <w:rFonts w:ascii="Tahoma" w:hAnsi="Tahoma" w:eastAsia="Tahoma" w:cs="Tahoma"/>
          <w:color w:val="auto"/>
          <w:sz w:val="21"/>
          <w:szCs w:val="21"/>
        </w:rPr>
      </w:pPr>
    </w:p>
    <w:p w14:paraId="15E5DFF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napToGrid/>
        <w:spacing w:beforeAutospacing="0" w:afterAutospacing="0" w:line="560" w:lineRule="exact"/>
        <w:ind w:firstLine="4320"/>
        <w:rPr>
          <w:rFonts w:ascii="Tahoma" w:hAnsi="Tahoma" w:eastAsia="Tahoma" w:cs="Tahoma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汕头市龙湖区人民法院</w:t>
      </w:r>
    </w:p>
    <w:p w14:paraId="5E8D0D7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topLinePunct w:val="0"/>
        <w:autoSpaceDE/>
        <w:autoSpaceDN/>
        <w:bidi w:val="0"/>
        <w:snapToGrid/>
        <w:spacing w:beforeAutospacing="0" w:afterAutospacing="0" w:line="560" w:lineRule="exact"/>
        <w:jc w:val="right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日</w:t>
      </w:r>
      <w:bookmarkEnd w:id="0"/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0F466"/>
    <w:multiLevelType w:val="singleLevel"/>
    <w:tmpl w:val="1110F46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OTJlNGNiZTBiYjAxNmJiNmVhNDJkNzAzZWQ0ZjMifQ=="/>
  </w:docVars>
  <w:rsids>
    <w:rsidRoot w:val="51F5638B"/>
    <w:rsid w:val="00097384"/>
    <w:rsid w:val="000B64AA"/>
    <w:rsid w:val="001A3C56"/>
    <w:rsid w:val="001B41D5"/>
    <w:rsid w:val="001D3B29"/>
    <w:rsid w:val="00296B67"/>
    <w:rsid w:val="002C583A"/>
    <w:rsid w:val="003E7CC9"/>
    <w:rsid w:val="00414895"/>
    <w:rsid w:val="004521CA"/>
    <w:rsid w:val="005C6296"/>
    <w:rsid w:val="00723D98"/>
    <w:rsid w:val="00786EE7"/>
    <w:rsid w:val="00933A21"/>
    <w:rsid w:val="00972FE4"/>
    <w:rsid w:val="00A0644C"/>
    <w:rsid w:val="00AF6A3B"/>
    <w:rsid w:val="00BC203F"/>
    <w:rsid w:val="00D265F1"/>
    <w:rsid w:val="00D321D8"/>
    <w:rsid w:val="00D52A86"/>
    <w:rsid w:val="0C074A82"/>
    <w:rsid w:val="10485DC7"/>
    <w:rsid w:val="139F0C33"/>
    <w:rsid w:val="14B538B3"/>
    <w:rsid w:val="1F0C56A1"/>
    <w:rsid w:val="36B6054E"/>
    <w:rsid w:val="474A5FB9"/>
    <w:rsid w:val="47830DC4"/>
    <w:rsid w:val="49247038"/>
    <w:rsid w:val="515F688E"/>
    <w:rsid w:val="51F5638B"/>
    <w:rsid w:val="64787434"/>
    <w:rsid w:val="671D3B6B"/>
    <w:rsid w:val="6C3E3797"/>
    <w:rsid w:val="6EF0008F"/>
    <w:rsid w:val="73FB7A5F"/>
    <w:rsid w:val="78656868"/>
    <w:rsid w:val="7DB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1342</Words>
  <Characters>1427</Characters>
  <Lines>5</Lines>
  <Paragraphs>1</Paragraphs>
  <TotalTime>6</TotalTime>
  <ScaleCrop>false</ScaleCrop>
  <LinksUpToDate>false</LinksUpToDate>
  <CharactersWithSpaces>1443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2024-03-26T01:59:00Z</dcterms:created>
  <dc:creator>Administrator</dc:creator>
  <cp:lastModifiedBy>Administrator</cp:lastModifiedBy>
  <cp:lastPrinted>2024-09-04T02:00:43Z</cp:lastPrinted>
  <dcterms:modified xsi:type="dcterms:W3CDTF">2024-09-04T02:07:10Z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C0041FBC62FA44AFB7B2FC40A14DC9CD_13</vt:lpwstr>
  </property>
</Properties>
</file>