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EC3532D" w14:textId="77777777" w:rsidR="000742C3" w:rsidRDefault="000742C3" w:rsidP="000742C3">
      <w:pPr>
        <w:autoSpaceDE w:val="0"/>
        <w:autoSpaceDN w:val="0"/>
        <w:adjustRightInd w:val="0"/>
        <w:snapToGrid w:val="0"/>
        <w:ind w:firstLine="723"/>
        <w:jc w:val="center"/>
        <w:outlineLvl w:val="0"/>
        <w:rPr>
          <w:rFonts w:ascii="仿宋_GB2312" w:eastAsia="仿宋_GB2312" w:hAnsi="宋体" w:hint="eastAsia"/>
          <w:b/>
          <w:sz w:val="28"/>
          <w:szCs w:val="28"/>
        </w:rPr>
      </w:pPr>
      <w:r>
        <w:rPr>
          <w:rFonts w:ascii="宋体" w:hAnsi="宋体" w:hint="eastAsia"/>
          <w:b/>
          <w:bCs/>
          <w:sz w:val="36"/>
          <w:szCs w:val="36"/>
          <w:lang w:val="zh-CN"/>
        </w:rPr>
        <w:t>项目需求</w:t>
      </w:r>
    </w:p>
    <w:p w14:paraId="365AC7E1" w14:textId="77777777" w:rsidR="000742C3" w:rsidRDefault="000742C3" w:rsidP="000742C3">
      <w:pPr>
        <w:widowControl/>
        <w:ind w:firstLine="482"/>
        <w:jc w:val="left"/>
        <w:rPr>
          <w:rFonts w:ascii="宋体" w:hAnsi="宋体" w:cs="仿宋"/>
          <w:kern w:val="0"/>
          <w:shd w:val="clear" w:color="auto" w:fill="FFFFFF"/>
          <w:lang w:bidi="ar"/>
        </w:rPr>
      </w:pPr>
      <w:bookmarkStart w:id="0" w:name="_Hlk137722216"/>
      <w:r>
        <w:rPr>
          <w:rFonts w:ascii="宋体" w:hAnsi="宋体" w:cs="仿宋" w:hint="eastAsia"/>
          <w:b/>
          <w:bCs/>
          <w:kern w:val="0"/>
          <w:shd w:val="clear" w:color="auto" w:fill="FFFFFF"/>
          <w:lang w:bidi="ar"/>
        </w:rPr>
        <w:t>特别提醒：请供应</w:t>
      </w:r>
      <w:proofErr w:type="gramStart"/>
      <w:r>
        <w:rPr>
          <w:rFonts w:ascii="宋体" w:hAnsi="宋体" w:cs="仿宋" w:hint="eastAsia"/>
          <w:b/>
          <w:bCs/>
          <w:kern w:val="0"/>
          <w:shd w:val="clear" w:color="auto" w:fill="FFFFFF"/>
          <w:lang w:bidi="ar"/>
        </w:rPr>
        <w:t>商制作</w:t>
      </w:r>
      <w:proofErr w:type="gramEnd"/>
      <w:r>
        <w:rPr>
          <w:rFonts w:ascii="宋体" w:hAnsi="宋体" w:cs="仿宋" w:hint="eastAsia"/>
          <w:b/>
          <w:bCs/>
          <w:kern w:val="0"/>
          <w:shd w:val="clear" w:color="auto" w:fill="FFFFFF"/>
          <w:lang w:bidi="ar"/>
        </w:rPr>
        <w:t>询价响应文件时仔细研究项目需求说明。</w:t>
      </w:r>
      <w:r>
        <w:rPr>
          <w:rFonts w:ascii="宋体" w:hAnsi="宋体" w:cs="仿宋" w:hint="eastAsia"/>
          <w:kern w:val="0"/>
          <w:shd w:val="clear" w:color="auto" w:fill="FFFFFF"/>
          <w:lang w:bidi="ar"/>
        </w:rPr>
        <w:t>供应商不能简单照搬照抄采购单位项目需求说明中的技术要求，必须作实事求是的响应。如照搬照抄项目需求说明中的技术要求，成交后供应商在同采购单位签订合同和履约环节中不得提出异议，一切后果和损失</w:t>
      </w:r>
      <w:proofErr w:type="gramStart"/>
      <w:r>
        <w:rPr>
          <w:rFonts w:ascii="宋体" w:hAnsi="宋体" w:cs="仿宋" w:hint="eastAsia"/>
          <w:kern w:val="0"/>
          <w:shd w:val="clear" w:color="auto" w:fill="FFFFFF"/>
          <w:lang w:bidi="ar"/>
        </w:rPr>
        <w:t>由成交</w:t>
      </w:r>
      <w:proofErr w:type="gramEnd"/>
      <w:r>
        <w:rPr>
          <w:rFonts w:ascii="宋体" w:hAnsi="宋体" w:cs="仿宋" w:hint="eastAsia"/>
          <w:kern w:val="0"/>
          <w:shd w:val="clear" w:color="auto" w:fill="FFFFFF"/>
          <w:lang w:bidi="ar"/>
        </w:rPr>
        <w:t>供应商承担。如供应商提供的货物和服务同采购单位提出的项目需求说明中的技术要求不同的，必须在《技术条款响应一览表》上明示。</w:t>
      </w:r>
    </w:p>
    <w:bookmarkEnd w:id="0"/>
    <w:p w14:paraId="53B2D71B" w14:textId="77777777" w:rsidR="000742C3" w:rsidRPr="00DE6A8D" w:rsidRDefault="000742C3" w:rsidP="000742C3">
      <w:pPr>
        <w:widowControl/>
        <w:ind w:firstLine="480"/>
        <w:rPr>
          <w:rFonts w:ascii="宋体" w:hAnsi="宋体" w:cs="楷体_GB2312" w:hint="eastAsia"/>
          <w:bCs/>
          <w:kern w:val="0"/>
        </w:rPr>
      </w:pPr>
      <w:r w:rsidRPr="00DE6A8D">
        <w:rPr>
          <w:rFonts w:ascii="宋体" w:hAnsi="宋体" w:cs="宋体" w:hint="eastAsia"/>
          <w:kern w:val="0"/>
        </w:rPr>
        <w:t>为落实《网络安全法》第二十一条第三款“网络运营者应当按照网络安全等级保护制度的要求”，</w:t>
      </w:r>
      <w:r w:rsidRPr="00DE6A8D">
        <w:rPr>
          <w:rFonts w:ascii="宋体" w:hAnsi="宋体" w:cs="仿宋" w:hint="eastAsia"/>
        </w:rPr>
        <w:t>南通市中级人民法院决定</w:t>
      </w:r>
      <w:r w:rsidRPr="00DE6A8D">
        <w:rPr>
          <w:rFonts w:ascii="宋体" w:hAnsi="宋体" w:cs="仿宋"/>
        </w:rPr>
        <w:t>对单位信息系统</w:t>
      </w:r>
      <w:r w:rsidRPr="00DE6A8D">
        <w:rPr>
          <w:rFonts w:ascii="宋体" w:hAnsi="宋体" w:cs="仿宋" w:hint="eastAsia"/>
        </w:rPr>
        <w:t>进行网络</w:t>
      </w:r>
      <w:r w:rsidRPr="00DE6A8D">
        <w:rPr>
          <w:rFonts w:ascii="宋体" w:hAnsi="宋体" w:cs="仿宋"/>
        </w:rPr>
        <w:t>安全等级保护测评</w:t>
      </w:r>
      <w:r w:rsidRPr="00DE6A8D">
        <w:rPr>
          <w:rFonts w:ascii="宋体" w:hAnsi="宋体" w:cs="宋体" w:hint="eastAsia"/>
          <w:kern w:val="0"/>
        </w:rPr>
        <w:t>，</w:t>
      </w:r>
      <w:r w:rsidRPr="00DE6A8D">
        <w:rPr>
          <w:rFonts w:ascii="宋体" w:hAnsi="宋体" w:cs="宋体"/>
          <w:kern w:val="0"/>
        </w:rPr>
        <w:t>以明确信息系统</w:t>
      </w:r>
      <w:r w:rsidRPr="00DE6A8D">
        <w:rPr>
          <w:rFonts w:ascii="宋体" w:hAnsi="宋体" w:cs="宋体" w:hint="eastAsia"/>
          <w:kern w:val="0"/>
        </w:rPr>
        <w:t>现状</w:t>
      </w:r>
      <w:r w:rsidRPr="00DE6A8D">
        <w:rPr>
          <w:rFonts w:ascii="宋体" w:hAnsi="宋体" w:cs="宋体"/>
          <w:kern w:val="0"/>
        </w:rPr>
        <w:t>，</w:t>
      </w:r>
      <w:r w:rsidRPr="00DE6A8D">
        <w:rPr>
          <w:rFonts w:ascii="宋体" w:hAnsi="宋体" w:cs="宋体" w:hint="eastAsia"/>
          <w:kern w:val="0"/>
        </w:rPr>
        <w:t>发现</w:t>
      </w:r>
      <w:r w:rsidRPr="00DE6A8D">
        <w:rPr>
          <w:rFonts w:ascii="宋体" w:hAnsi="宋体" w:cs="宋体"/>
          <w:kern w:val="0"/>
        </w:rPr>
        <w:t>系统</w:t>
      </w:r>
      <w:r w:rsidRPr="00DE6A8D">
        <w:rPr>
          <w:rFonts w:ascii="宋体" w:hAnsi="宋体" w:cs="宋体" w:hint="eastAsia"/>
          <w:kern w:val="0"/>
        </w:rPr>
        <w:t>内部</w:t>
      </w:r>
      <w:r w:rsidRPr="00DE6A8D">
        <w:rPr>
          <w:rFonts w:ascii="宋体" w:hAnsi="宋体" w:cs="宋体"/>
          <w:kern w:val="0"/>
        </w:rPr>
        <w:t>存在的安全隐患和不足，明确</w:t>
      </w:r>
      <w:r w:rsidRPr="00DE6A8D">
        <w:rPr>
          <w:rFonts w:ascii="宋体" w:hAnsi="宋体" w:cs="宋体" w:hint="eastAsia"/>
          <w:kern w:val="0"/>
        </w:rPr>
        <w:t>整改方向</w:t>
      </w:r>
      <w:r w:rsidRPr="00DE6A8D">
        <w:rPr>
          <w:rFonts w:ascii="宋体" w:hAnsi="宋体" w:cs="宋体"/>
          <w:kern w:val="0"/>
        </w:rPr>
        <w:t>，降低系统被攻击的风险</w:t>
      </w:r>
      <w:r w:rsidRPr="00DE6A8D">
        <w:rPr>
          <w:rFonts w:ascii="宋体" w:hAnsi="宋体" w:cs="宋体" w:hint="eastAsia"/>
          <w:kern w:val="0"/>
        </w:rPr>
        <w:t>。</w:t>
      </w:r>
    </w:p>
    <w:p w14:paraId="0EF314E2" w14:textId="77777777" w:rsidR="000742C3" w:rsidRPr="00DE6A8D" w:rsidRDefault="000742C3" w:rsidP="000742C3">
      <w:pPr>
        <w:keepNext/>
        <w:keepLines/>
        <w:ind w:firstLineChars="0"/>
        <w:outlineLvl w:val="1"/>
        <w:rPr>
          <w:rFonts w:ascii="宋体" w:hAnsi="宋体" w:cs="仿宋" w:hint="eastAsia"/>
          <w:b/>
          <w:bCs/>
        </w:rPr>
      </w:pPr>
      <w:r w:rsidRPr="00DE6A8D">
        <w:rPr>
          <w:rFonts w:ascii="宋体" w:hAnsi="宋体" w:cs="仿宋" w:hint="eastAsia"/>
          <w:b/>
          <w:bCs/>
        </w:rPr>
        <w:t>一、本项目服务范围</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20"/>
        <w:gridCol w:w="4646"/>
        <w:gridCol w:w="1040"/>
        <w:gridCol w:w="1590"/>
      </w:tblGrid>
      <w:tr w:rsidR="000742C3" w:rsidRPr="00DE6A8D" w14:paraId="1B7C1E6E" w14:textId="77777777" w:rsidTr="00F706D8">
        <w:tc>
          <w:tcPr>
            <w:tcW w:w="615" w:type="pct"/>
            <w:vAlign w:val="center"/>
          </w:tcPr>
          <w:p w14:paraId="1E74CF10"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序号</w:t>
            </w:r>
          </w:p>
        </w:tc>
        <w:tc>
          <w:tcPr>
            <w:tcW w:w="2800" w:type="pct"/>
            <w:vAlign w:val="center"/>
          </w:tcPr>
          <w:p w14:paraId="02384BB1"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系统名称</w:t>
            </w:r>
          </w:p>
        </w:tc>
        <w:tc>
          <w:tcPr>
            <w:tcW w:w="627" w:type="pct"/>
          </w:tcPr>
          <w:p w14:paraId="44BC8597"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数量</w:t>
            </w:r>
          </w:p>
        </w:tc>
        <w:tc>
          <w:tcPr>
            <w:tcW w:w="958" w:type="pct"/>
            <w:vAlign w:val="center"/>
          </w:tcPr>
          <w:p w14:paraId="0F5DC5DB"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备注</w:t>
            </w:r>
          </w:p>
        </w:tc>
      </w:tr>
      <w:tr w:rsidR="000742C3" w:rsidRPr="00DE6A8D" w14:paraId="5F463CDB" w14:textId="77777777" w:rsidTr="00F706D8">
        <w:tc>
          <w:tcPr>
            <w:tcW w:w="615" w:type="pct"/>
            <w:vAlign w:val="center"/>
          </w:tcPr>
          <w:p w14:paraId="03A81A76"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1</w:t>
            </w:r>
          </w:p>
        </w:tc>
        <w:tc>
          <w:tcPr>
            <w:tcW w:w="2800" w:type="pct"/>
            <w:vAlign w:val="center"/>
          </w:tcPr>
          <w:p w14:paraId="630BD2B1"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南通法院电子诉讼服务平台</w:t>
            </w:r>
          </w:p>
        </w:tc>
        <w:tc>
          <w:tcPr>
            <w:tcW w:w="627" w:type="pct"/>
            <w:vAlign w:val="center"/>
          </w:tcPr>
          <w:p w14:paraId="579EC87C"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1</w:t>
            </w:r>
          </w:p>
        </w:tc>
        <w:tc>
          <w:tcPr>
            <w:tcW w:w="958" w:type="pct"/>
            <w:vAlign w:val="center"/>
          </w:tcPr>
          <w:p w14:paraId="017E2461"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三级</w:t>
            </w:r>
          </w:p>
        </w:tc>
      </w:tr>
      <w:tr w:rsidR="000742C3" w:rsidRPr="00DE6A8D" w14:paraId="0EDDBF3E" w14:textId="77777777" w:rsidTr="00F706D8">
        <w:tc>
          <w:tcPr>
            <w:tcW w:w="615" w:type="pct"/>
            <w:vAlign w:val="center"/>
          </w:tcPr>
          <w:p w14:paraId="2499906D"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2</w:t>
            </w:r>
          </w:p>
        </w:tc>
        <w:tc>
          <w:tcPr>
            <w:tcW w:w="2800" w:type="pct"/>
            <w:vAlign w:val="center"/>
          </w:tcPr>
          <w:p w14:paraId="324675FF"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南通</w:t>
            </w:r>
            <w:proofErr w:type="gramStart"/>
            <w:r w:rsidRPr="00DE6A8D">
              <w:rPr>
                <w:rFonts w:ascii="宋体" w:hAnsi="宋体" w:hint="eastAsia"/>
                <w:bCs/>
              </w:rPr>
              <w:t>法院支云庭审</w:t>
            </w:r>
            <w:proofErr w:type="gramEnd"/>
            <w:r w:rsidRPr="00DE6A8D">
              <w:rPr>
                <w:rFonts w:ascii="宋体" w:hAnsi="宋体" w:hint="eastAsia"/>
                <w:bCs/>
              </w:rPr>
              <w:t>系统</w:t>
            </w:r>
          </w:p>
        </w:tc>
        <w:tc>
          <w:tcPr>
            <w:tcW w:w="627" w:type="pct"/>
            <w:vAlign w:val="center"/>
          </w:tcPr>
          <w:p w14:paraId="54298DA7"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1</w:t>
            </w:r>
          </w:p>
        </w:tc>
        <w:tc>
          <w:tcPr>
            <w:tcW w:w="958" w:type="pct"/>
            <w:vAlign w:val="center"/>
          </w:tcPr>
          <w:p w14:paraId="592C2D96"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三级</w:t>
            </w:r>
          </w:p>
        </w:tc>
      </w:tr>
      <w:tr w:rsidR="000742C3" w:rsidRPr="00DE6A8D" w14:paraId="681E4F55" w14:textId="77777777" w:rsidTr="00F706D8">
        <w:tc>
          <w:tcPr>
            <w:tcW w:w="615" w:type="pct"/>
            <w:vAlign w:val="center"/>
          </w:tcPr>
          <w:p w14:paraId="6BFE68A4"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3</w:t>
            </w:r>
          </w:p>
        </w:tc>
        <w:tc>
          <w:tcPr>
            <w:tcW w:w="2800" w:type="pct"/>
            <w:vAlign w:val="center"/>
          </w:tcPr>
          <w:p w14:paraId="1A01417C"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人民法院综合信息管理平台</w:t>
            </w:r>
          </w:p>
        </w:tc>
        <w:tc>
          <w:tcPr>
            <w:tcW w:w="627" w:type="pct"/>
            <w:vAlign w:val="center"/>
          </w:tcPr>
          <w:p w14:paraId="3D39E6B9"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1</w:t>
            </w:r>
          </w:p>
        </w:tc>
        <w:tc>
          <w:tcPr>
            <w:tcW w:w="958" w:type="pct"/>
            <w:vAlign w:val="center"/>
          </w:tcPr>
          <w:p w14:paraId="71551548" w14:textId="77777777" w:rsidR="000742C3" w:rsidRPr="00DE6A8D" w:rsidRDefault="000742C3" w:rsidP="00F706D8">
            <w:pPr>
              <w:ind w:firstLineChars="0"/>
              <w:jc w:val="center"/>
              <w:rPr>
                <w:rFonts w:ascii="宋体" w:hAnsi="宋体" w:hint="eastAsia"/>
                <w:bCs/>
              </w:rPr>
            </w:pPr>
            <w:r w:rsidRPr="00DE6A8D">
              <w:rPr>
                <w:rFonts w:ascii="宋体" w:hAnsi="宋体" w:hint="eastAsia"/>
                <w:bCs/>
              </w:rPr>
              <w:t>三级</w:t>
            </w:r>
          </w:p>
        </w:tc>
      </w:tr>
    </w:tbl>
    <w:p w14:paraId="6DD66A89" w14:textId="77777777" w:rsidR="000742C3" w:rsidRPr="00DE6A8D" w:rsidRDefault="000742C3" w:rsidP="000742C3">
      <w:pPr>
        <w:keepNext/>
        <w:keepLines/>
        <w:ind w:firstLineChars="0"/>
        <w:outlineLvl w:val="1"/>
        <w:rPr>
          <w:rFonts w:ascii="宋体" w:hAnsi="宋体" w:cs="仿宋" w:hint="eastAsia"/>
          <w:b/>
          <w:bCs/>
        </w:rPr>
      </w:pPr>
      <w:r w:rsidRPr="00DE6A8D">
        <w:rPr>
          <w:rFonts w:ascii="宋体" w:hAnsi="宋体" w:cs="仿宋" w:hint="eastAsia"/>
          <w:b/>
          <w:bCs/>
        </w:rPr>
        <w:t>二、测评单位要求</w:t>
      </w:r>
    </w:p>
    <w:p w14:paraId="55C1F0DF" w14:textId="77777777" w:rsidR="000742C3" w:rsidRPr="00DE6A8D" w:rsidRDefault="000742C3" w:rsidP="000742C3">
      <w:pPr>
        <w:ind w:firstLine="482"/>
        <w:rPr>
          <w:rFonts w:ascii="宋体" w:hAnsi="宋体" w:cs="仿宋" w:hint="eastAsia"/>
          <w:b/>
        </w:rPr>
      </w:pPr>
      <w:r w:rsidRPr="00DE6A8D">
        <w:rPr>
          <w:rFonts w:ascii="宋体" w:hAnsi="宋体" w:cs="仿宋" w:hint="eastAsia"/>
          <w:b/>
        </w:rPr>
        <w:t>潜在供应商需</w:t>
      </w:r>
      <w:r w:rsidRPr="00DE6A8D">
        <w:rPr>
          <w:rFonts w:ascii="宋体" w:hAnsi="宋体" w:cs="仿宋"/>
          <w:b/>
        </w:rPr>
        <w:t>具有</w:t>
      </w:r>
      <w:r w:rsidRPr="00DE6A8D">
        <w:rPr>
          <w:rFonts w:ascii="宋体" w:hAnsi="宋体" w:cs="仿宋" w:hint="eastAsia"/>
          <w:b/>
        </w:rPr>
        <w:t>有效期内的《</w:t>
      </w:r>
      <w:r w:rsidRPr="00DE6A8D">
        <w:rPr>
          <w:rFonts w:ascii="宋体" w:hAnsi="宋体" w:cs="仿宋"/>
          <w:b/>
        </w:rPr>
        <w:t>网络安全等级测评与检测评估机构服务认证证书</w:t>
      </w:r>
      <w:r w:rsidRPr="00DE6A8D">
        <w:rPr>
          <w:rFonts w:ascii="宋体" w:hAnsi="宋体" w:cs="仿宋" w:hint="eastAsia"/>
          <w:b/>
        </w:rPr>
        <w:t>》，提供证书复印件（加盖公章）。</w:t>
      </w:r>
    </w:p>
    <w:p w14:paraId="0C427275" w14:textId="77777777" w:rsidR="000742C3" w:rsidRPr="00DE6A8D" w:rsidRDefault="000742C3" w:rsidP="000742C3">
      <w:pPr>
        <w:keepNext/>
        <w:keepLines/>
        <w:ind w:firstLineChars="0"/>
        <w:outlineLvl w:val="1"/>
        <w:rPr>
          <w:rFonts w:ascii="宋体" w:hAnsi="宋体" w:cs="仿宋" w:hint="eastAsia"/>
          <w:b/>
          <w:bCs/>
        </w:rPr>
      </w:pPr>
      <w:r w:rsidRPr="00DE6A8D">
        <w:rPr>
          <w:rFonts w:ascii="宋体" w:hAnsi="宋体" w:cs="仿宋" w:hint="eastAsia"/>
          <w:b/>
          <w:bCs/>
        </w:rPr>
        <w:t>三、测评内容</w:t>
      </w:r>
    </w:p>
    <w:p w14:paraId="6C2DA501" w14:textId="77777777" w:rsidR="000742C3" w:rsidRPr="00DE6A8D" w:rsidRDefault="000742C3" w:rsidP="000742C3">
      <w:pPr>
        <w:ind w:firstLine="480"/>
        <w:rPr>
          <w:rFonts w:ascii="宋体" w:hAnsi="宋体" w:cs="仿宋" w:hint="eastAsia"/>
        </w:rPr>
      </w:pPr>
      <w:r w:rsidRPr="00DE6A8D">
        <w:rPr>
          <w:rFonts w:ascii="宋体" w:hAnsi="宋体" w:cs="仿宋" w:hint="eastAsia"/>
        </w:rPr>
        <w:t>1、总体要求：</w:t>
      </w:r>
    </w:p>
    <w:p w14:paraId="2E20018A" w14:textId="77777777" w:rsidR="000742C3" w:rsidRPr="00DE6A8D" w:rsidRDefault="000742C3" w:rsidP="000742C3">
      <w:pPr>
        <w:ind w:firstLine="480"/>
        <w:rPr>
          <w:rFonts w:ascii="宋体" w:hAnsi="宋体" w:cs="仿宋" w:hint="eastAsia"/>
        </w:rPr>
      </w:pPr>
      <w:r w:rsidRPr="00DE6A8D">
        <w:rPr>
          <w:rFonts w:ascii="宋体" w:hAnsi="宋体" w:cs="仿宋" w:hint="eastAsia"/>
        </w:rPr>
        <w:t>A．完成上述系统安全等级测评工作，测评后经用户方确认，出具符合</w:t>
      </w:r>
      <w:r w:rsidRPr="00DE6A8D">
        <w:rPr>
          <w:rFonts w:ascii="宋体" w:hAnsi="宋体" w:hint="eastAsia"/>
          <w:b/>
          <w:bCs/>
        </w:rPr>
        <w:t>网络安全等级保护</w:t>
      </w:r>
      <w:r w:rsidRPr="00DE6A8D">
        <w:rPr>
          <w:rFonts w:ascii="宋体" w:hAnsi="宋体" w:cs="仿宋" w:hint="eastAsia"/>
        </w:rPr>
        <w:t>测评要求的测评报告；</w:t>
      </w:r>
    </w:p>
    <w:p w14:paraId="1CE7CD72" w14:textId="77777777" w:rsidR="000742C3" w:rsidRPr="00DE6A8D" w:rsidRDefault="000742C3" w:rsidP="000742C3">
      <w:pPr>
        <w:ind w:firstLine="480"/>
        <w:rPr>
          <w:rFonts w:ascii="宋体" w:hAnsi="宋体" w:cs="仿宋" w:hint="eastAsia"/>
        </w:rPr>
      </w:pPr>
      <w:r w:rsidRPr="00DE6A8D">
        <w:rPr>
          <w:rFonts w:ascii="宋体" w:hAnsi="宋体" w:cs="仿宋" w:hint="eastAsia"/>
        </w:rPr>
        <w:t>B．对上述系统不符合</w:t>
      </w:r>
      <w:r w:rsidRPr="00DE6A8D">
        <w:rPr>
          <w:rFonts w:ascii="宋体" w:hAnsi="宋体" w:hint="eastAsia"/>
          <w:b/>
          <w:bCs/>
        </w:rPr>
        <w:t>网络安全等级保护</w:t>
      </w:r>
      <w:r w:rsidRPr="00DE6A8D">
        <w:rPr>
          <w:rFonts w:ascii="宋体" w:hAnsi="宋体" w:cs="仿宋" w:hint="eastAsia"/>
        </w:rPr>
        <w:t>有关管理规范和技术标准的，提出可行性整改方案，提供相应的安全整改建议书。</w:t>
      </w:r>
    </w:p>
    <w:p w14:paraId="03C15EBE" w14:textId="77777777" w:rsidR="000742C3" w:rsidRPr="00DE6A8D" w:rsidRDefault="000742C3" w:rsidP="000742C3">
      <w:pPr>
        <w:ind w:firstLine="480"/>
        <w:rPr>
          <w:rFonts w:ascii="宋体" w:hAnsi="宋体" w:cs="仿宋" w:hint="eastAsia"/>
        </w:rPr>
      </w:pPr>
      <w:r w:rsidRPr="00DE6A8D">
        <w:rPr>
          <w:rFonts w:ascii="宋体" w:hAnsi="宋体" w:cs="仿宋" w:hint="eastAsia"/>
        </w:rPr>
        <w:t>2、质量要求：</w:t>
      </w:r>
    </w:p>
    <w:p w14:paraId="2C5C47B6" w14:textId="77777777" w:rsidR="000742C3" w:rsidRPr="00DE6A8D" w:rsidRDefault="000742C3" w:rsidP="000742C3">
      <w:pPr>
        <w:ind w:firstLine="480"/>
        <w:rPr>
          <w:rFonts w:ascii="宋体" w:hAnsi="宋体" w:cs="仿宋" w:hint="eastAsia"/>
        </w:rPr>
      </w:pPr>
      <w:r w:rsidRPr="00DE6A8D">
        <w:rPr>
          <w:rFonts w:ascii="宋体" w:hAnsi="宋体" w:cs="仿宋" w:hint="eastAsia"/>
        </w:rPr>
        <w:t>A．等级测评及服务原则：符合性原则、标准性原则、规范性原则、可控性原则、整体性原则。</w:t>
      </w:r>
    </w:p>
    <w:p w14:paraId="6B37DCCB" w14:textId="77777777" w:rsidR="000742C3" w:rsidRPr="00DE6A8D" w:rsidRDefault="000742C3" w:rsidP="000742C3">
      <w:pPr>
        <w:ind w:firstLine="480"/>
        <w:rPr>
          <w:rFonts w:ascii="宋体" w:hAnsi="宋体" w:cs="仿宋" w:hint="eastAsia"/>
        </w:rPr>
      </w:pPr>
      <w:r w:rsidRPr="00DE6A8D">
        <w:rPr>
          <w:rFonts w:ascii="宋体" w:hAnsi="宋体" w:cs="仿宋" w:hint="eastAsia"/>
        </w:rPr>
        <w:t>B．</w:t>
      </w:r>
      <w:r w:rsidRPr="00DE6A8D">
        <w:rPr>
          <w:rFonts w:ascii="宋体" w:hAnsi="宋体" w:hint="eastAsia"/>
          <w:b/>
          <w:bCs/>
        </w:rPr>
        <w:t>网络安全等级保护</w:t>
      </w:r>
      <w:r w:rsidRPr="00DE6A8D">
        <w:rPr>
          <w:rFonts w:ascii="宋体" w:hAnsi="宋体" w:cs="仿宋" w:hint="eastAsia"/>
        </w:rPr>
        <w:t>定级及测评服务依据：</w:t>
      </w:r>
    </w:p>
    <w:p w14:paraId="591E431E" w14:textId="77777777" w:rsidR="000742C3" w:rsidRPr="00DE6A8D" w:rsidRDefault="000742C3" w:rsidP="000742C3">
      <w:pPr>
        <w:ind w:firstLine="480"/>
        <w:rPr>
          <w:rFonts w:ascii="宋体" w:hAnsi="宋体" w:cs="仿宋" w:hint="eastAsia"/>
        </w:rPr>
      </w:pPr>
      <w:r w:rsidRPr="00DE6A8D">
        <w:rPr>
          <w:rFonts w:ascii="宋体" w:hAnsi="宋体" w:cs="仿宋"/>
        </w:rPr>
        <w:t>《</w:t>
      </w:r>
      <w:r w:rsidRPr="00DE6A8D">
        <w:rPr>
          <w:rFonts w:ascii="宋体" w:hAnsi="宋体" w:cs="仿宋" w:hint="eastAsia"/>
        </w:rPr>
        <w:t>中华人民共和国网络安全法</w:t>
      </w:r>
      <w:r w:rsidRPr="00DE6A8D">
        <w:rPr>
          <w:rFonts w:ascii="宋体" w:hAnsi="宋体" w:cs="仿宋"/>
        </w:rPr>
        <w:t>》</w:t>
      </w:r>
    </w:p>
    <w:p w14:paraId="7901BAF9" w14:textId="77777777" w:rsidR="000742C3" w:rsidRPr="00DE6A8D" w:rsidRDefault="000742C3" w:rsidP="000742C3">
      <w:pPr>
        <w:ind w:firstLine="482"/>
        <w:rPr>
          <w:rFonts w:ascii="宋体" w:hAnsi="宋体" w:hint="eastAsia"/>
          <w:bCs/>
        </w:rPr>
      </w:pPr>
      <w:r w:rsidRPr="00DE6A8D">
        <w:rPr>
          <w:rFonts w:ascii="宋体" w:hAnsi="宋体" w:hint="eastAsia"/>
          <w:b/>
          <w:bCs/>
        </w:rPr>
        <w:lastRenderedPageBreak/>
        <w:t>《GB/T22239-2019信息安全技术 网络安全等级保护基本要求》，</w:t>
      </w:r>
    </w:p>
    <w:p w14:paraId="526EE3EF" w14:textId="77777777" w:rsidR="000742C3" w:rsidRPr="00DE6A8D" w:rsidRDefault="000742C3" w:rsidP="000742C3">
      <w:pPr>
        <w:ind w:firstLine="482"/>
        <w:rPr>
          <w:rFonts w:ascii="宋体" w:hAnsi="宋体" w:hint="eastAsia"/>
          <w:bCs/>
        </w:rPr>
      </w:pPr>
      <w:r w:rsidRPr="00DE6A8D">
        <w:rPr>
          <w:rFonts w:ascii="宋体" w:hAnsi="宋体" w:hint="eastAsia"/>
          <w:b/>
          <w:bCs/>
        </w:rPr>
        <w:t>《GB/T28448-2019 信息安全技术 网络安全等级保护测评要求》，</w:t>
      </w:r>
    </w:p>
    <w:p w14:paraId="032B1CDF" w14:textId="77777777" w:rsidR="000742C3" w:rsidRPr="00DE6A8D" w:rsidRDefault="000742C3" w:rsidP="000742C3">
      <w:pPr>
        <w:ind w:firstLine="482"/>
        <w:rPr>
          <w:rFonts w:ascii="宋体" w:hAnsi="宋体" w:hint="eastAsia"/>
          <w:bCs/>
        </w:rPr>
      </w:pPr>
      <w:r w:rsidRPr="00DE6A8D">
        <w:rPr>
          <w:rFonts w:ascii="宋体" w:hAnsi="宋体" w:hint="eastAsia"/>
          <w:b/>
          <w:bCs/>
        </w:rPr>
        <w:t>《GB/T 28449-2018 信息安全技术 网络安全等级保护测评过程指南》，</w:t>
      </w:r>
    </w:p>
    <w:p w14:paraId="27FF50B5" w14:textId="77777777" w:rsidR="000742C3" w:rsidRPr="00DE6A8D" w:rsidRDefault="000742C3" w:rsidP="000742C3">
      <w:pPr>
        <w:ind w:firstLine="482"/>
        <w:rPr>
          <w:rFonts w:ascii="宋体" w:hAnsi="宋体" w:hint="eastAsia"/>
          <w:bCs/>
        </w:rPr>
      </w:pPr>
      <w:r w:rsidRPr="00DE6A8D">
        <w:rPr>
          <w:rFonts w:ascii="宋体" w:hAnsi="宋体" w:hint="eastAsia"/>
          <w:b/>
          <w:bCs/>
        </w:rPr>
        <w:t>《GB/T 25058-2019 信息安全技术 网络安全等级保护实施指南》。</w:t>
      </w:r>
    </w:p>
    <w:p w14:paraId="08C8045B" w14:textId="77777777" w:rsidR="000742C3" w:rsidRPr="00DE6A8D" w:rsidRDefault="000742C3" w:rsidP="000742C3">
      <w:pPr>
        <w:ind w:firstLine="480"/>
        <w:rPr>
          <w:rFonts w:ascii="宋体" w:hAnsi="宋体" w:cs="仿宋" w:hint="eastAsia"/>
        </w:rPr>
      </w:pPr>
      <w:r w:rsidRPr="00DE6A8D">
        <w:rPr>
          <w:rFonts w:ascii="宋体" w:hAnsi="宋体" w:cs="仿宋" w:hint="eastAsia"/>
        </w:rPr>
        <w:t>3、网络安全等级保护测评内容：</w:t>
      </w:r>
    </w:p>
    <w:p w14:paraId="7C5BBDF1" w14:textId="77777777" w:rsidR="000742C3" w:rsidRPr="00DE6A8D" w:rsidRDefault="000742C3" w:rsidP="000742C3">
      <w:pPr>
        <w:ind w:firstLine="480"/>
        <w:rPr>
          <w:rFonts w:ascii="宋体" w:hAnsi="宋体" w:cs="仿宋" w:hint="eastAsia"/>
        </w:rPr>
      </w:pPr>
      <w:r w:rsidRPr="00DE6A8D">
        <w:rPr>
          <w:rFonts w:ascii="宋体" w:hAnsi="宋体" w:cs="仿宋" w:hint="eastAsia"/>
        </w:rPr>
        <w:t>A．安全技术测评：包括安全物理环境、安全区域边界、安全通信网络、安全计算环境和安全管理中心五个方面的安全测评；</w:t>
      </w:r>
    </w:p>
    <w:p w14:paraId="6692D12B" w14:textId="77777777" w:rsidR="000742C3" w:rsidRPr="00DE6A8D" w:rsidRDefault="000742C3" w:rsidP="000742C3">
      <w:pPr>
        <w:ind w:firstLine="480"/>
        <w:rPr>
          <w:rFonts w:ascii="宋体" w:hAnsi="宋体" w:cs="仿宋" w:hint="eastAsia"/>
        </w:rPr>
      </w:pPr>
      <w:r w:rsidRPr="00DE6A8D">
        <w:rPr>
          <w:rFonts w:ascii="宋体" w:hAnsi="宋体" w:cs="仿宋" w:hint="eastAsia"/>
        </w:rPr>
        <w:t>B．安全管理测评：安全管理机构、安全管理制度、安全管理人员、安全建设管理和</w:t>
      </w:r>
      <w:proofErr w:type="gramStart"/>
      <w:r w:rsidRPr="00DE6A8D">
        <w:rPr>
          <w:rFonts w:ascii="宋体" w:hAnsi="宋体" w:cs="仿宋" w:hint="eastAsia"/>
        </w:rPr>
        <w:t>安全运维管理</w:t>
      </w:r>
      <w:proofErr w:type="gramEnd"/>
      <w:r w:rsidRPr="00DE6A8D">
        <w:rPr>
          <w:rFonts w:ascii="宋体" w:hAnsi="宋体" w:cs="仿宋" w:hint="eastAsia"/>
        </w:rPr>
        <w:t>五个方面的安全控制测评</w:t>
      </w:r>
    </w:p>
    <w:p w14:paraId="296F39F6" w14:textId="77777777" w:rsidR="000742C3" w:rsidRPr="00DE6A8D" w:rsidRDefault="000742C3" w:rsidP="000742C3">
      <w:pPr>
        <w:ind w:firstLine="480"/>
        <w:rPr>
          <w:rFonts w:ascii="宋体" w:hAnsi="宋体" w:cs="仿宋" w:hint="eastAsia"/>
        </w:rPr>
      </w:pPr>
      <w:r w:rsidRPr="00DE6A8D">
        <w:rPr>
          <w:rFonts w:ascii="宋体" w:hAnsi="宋体" w:cs="仿宋" w:hint="eastAsia"/>
        </w:rPr>
        <w:t>4、提供整改咨询服务，根据所测系统的最终测评报告，对系统现状提出安全整改建议并协助整改工作，以期达到整改目的。</w:t>
      </w:r>
    </w:p>
    <w:p w14:paraId="2B0F55F4" w14:textId="77777777" w:rsidR="000742C3" w:rsidRPr="00DE6A8D" w:rsidRDefault="000742C3" w:rsidP="000742C3">
      <w:pPr>
        <w:keepNext/>
        <w:keepLines/>
        <w:ind w:firstLineChars="0"/>
        <w:outlineLvl w:val="1"/>
        <w:rPr>
          <w:rFonts w:ascii="宋体" w:hAnsi="宋体" w:cs="仿宋" w:hint="eastAsia"/>
          <w:b/>
          <w:bCs/>
        </w:rPr>
      </w:pPr>
      <w:r w:rsidRPr="00DE6A8D">
        <w:rPr>
          <w:rFonts w:ascii="宋体" w:hAnsi="宋体" w:cs="仿宋" w:hint="eastAsia"/>
          <w:b/>
          <w:bCs/>
        </w:rPr>
        <w:t>四、测评原则</w:t>
      </w:r>
    </w:p>
    <w:p w14:paraId="06614557" w14:textId="77777777" w:rsidR="000742C3" w:rsidRPr="00DE6A8D" w:rsidRDefault="000742C3" w:rsidP="000742C3">
      <w:pPr>
        <w:ind w:firstLine="480"/>
        <w:rPr>
          <w:rFonts w:ascii="宋体" w:hAnsi="宋体" w:cs="仿宋" w:hint="eastAsia"/>
        </w:rPr>
      </w:pPr>
      <w:r w:rsidRPr="00DE6A8D">
        <w:rPr>
          <w:rFonts w:ascii="宋体" w:hAnsi="宋体" w:cs="仿宋" w:hint="eastAsia"/>
        </w:rPr>
        <w:t>1、客观性和公正性原则：</w:t>
      </w:r>
    </w:p>
    <w:p w14:paraId="5CADC9F5" w14:textId="77777777" w:rsidR="000742C3" w:rsidRPr="00DE6A8D" w:rsidRDefault="000742C3" w:rsidP="000742C3">
      <w:pPr>
        <w:ind w:firstLine="480"/>
        <w:rPr>
          <w:rFonts w:ascii="宋体" w:hAnsi="宋体" w:cs="仿宋" w:hint="eastAsia"/>
        </w:rPr>
      </w:pPr>
      <w:r w:rsidRPr="00DE6A8D">
        <w:rPr>
          <w:rFonts w:ascii="宋体" w:hAnsi="宋体" w:cs="仿宋" w:hint="eastAsia"/>
        </w:rPr>
        <w:t>测评人员应当没有偏见，在最小主观判断情形下，按照评估双方相互认可的评估方案，基于明确定义的测评方式和解释，实施评估活动。</w:t>
      </w:r>
    </w:p>
    <w:p w14:paraId="1229B46B" w14:textId="77777777" w:rsidR="000742C3" w:rsidRPr="00DE6A8D" w:rsidRDefault="000742C3" w:rsidP="000742C3">
      <w:pPr>
        <w:ind w:firstLine="480"/>
        <w:rPr>
          <w:rFonts w:ascii="宋体" w:hAnsi="宋体" w:cs="仿宋" w:hint="eastAsia"/>
        </w:rPr>
      </w:pPr>
      <w:r w:rsidRPr="00DE6A8D">
        <w:rPr>
          <w:rFonts w:ascii="宋体" w:hAnsi="宋体" w:cs="仿宋" w:hint="eastAsia"/>
        </w:rPr>
        <w:t>2、可重复性和</w:t>
      </w:r>
      <w:proofErr w:type="gramStart"/>
      <w:r w:rsidRPr="00DE6A8D">
        <w:rPr>
          <w:rFonts w:ascii="宋体" w:hAnsi="宋体" w:cs="仿宋" w:hint="eastAsia"/>
        </w:rPr>
        <w:t>可</w:t>
      </w:r>
      <w:proofErr w:type="gramEnd"/>
      <w:r w:rsidRPr="00DE6A8D">
        <w:rPr>
          <w:rFonts w:ascii="宋体" w:hAnsi="宋体" w:cs="仿宋" w:hint="eastAsia"/>
        </w:rPr>
        <w:t>再现性原则：</w:t>
      </w:r>
    </w:p>
    <w:p w14:paraId="64FB1C60" w14:textId="77777777" w:rsidR="000742C3" w:rsidRPr="00DE6A8D" w:rsidRDefault="000742C3" w:rsidP="000742C3">
      <w:pPr>
        <w:ind w:firstLine="480"/>
        <w:rPr>
          <w:rFonts w:ascii="宋体" w:hAnsi="宋体" w:cs="仿宋" w:hint="eastAsia"/>
        </w:rPr>
      </w:pPr>
      <w:r w:rsidRPr="00DE6A8D">
        <w:rPr>
          <w:rFonts w:ascii="宋体" w:hAnsi="宋体" w:cs="仿宋" w:hint="eastAsia"/>
        </w:rPr>
        <w:t>依照同样的要求，使用同样的评估方式，对每个评估实施过程的重复执行应该得到同样的结果。可再现性和可重复性的区别在于，前者与不同评估者评估结果的一致性有关，后者与同一评估者评估结果的一致性有关。</w:t>
      </w:r>
    </w:p>
    <w:p w14:paraId="107C6EDD" w14:textId="77777777" w:rsidR="000742C3" w:rsidRPr="00DE6A8D" w:rsidRDefault="000742C3" w:rsidP="000742C3">
      <w:pPr>
        <w:ind w:firstLine="480"/>
        <w:rPr>
          <w:rFonts w:ascii="宋体" w:hAnsi="宋体" w:cs="仿宋" w:hint="eastAsia"/>
        </w:rPr>
      </w:pPr>
      <w:r w:rsidRPr="00DE6A8D">
        <w:rPr>
          <w:rFonts w:ascii="宋体" w:hAnsi="宋体" w:cs="仿宋" w:hint="eastAsia"/>
        </w:rPr>
        <w:t>3、连续性原则：</w:t>
      </w:r>
    </w:p>
    <w:p w14:paraId="10B5BB8D" w14:textId="77777777" w:rsidR="000742C3" w:rsidRPr="00DE6A8D" w:rsidRDefault="000742C3" w:rsidP="000742C3">
      <w:pPr>
        <w:ind w:firstLine="480"/>
        <w:rPr>
          <w:rFonts w:ascii="宋体" w:hAnsi="宋体" w:cs="仿宋" w:hint="eastAsia"/>
        </w:rPr>
      </w:pPr>
      <w:r w:rsidRPr="00DE6A8D">
        <w:rPr>
          <w:rFonts w:ascii="宋体" w:hAnsi="宋体" w:cs="仿宋" w:hint="eastAsia"/>
        </w:rPr>
        <w:t>确保在高速变化的信息安全环境中，在有效的服务期间内，保证采购方风险评估结论的准确性和及时性，对于采购方单位新增设的信息资产和服务，或新建立的信息化项目，进行局部系统的重新评估。从经济上，降低了采购方单位的成本，从信息安全性上，保证信息安全测评的动态稳定性。</w:t>
      </w:r>
    </w:p>
    <w:p w14:paraId="26E8CA98" w14:textId="77777777" w:rsidR="000742C3" w:rsidRPr="00DE6A8D" w:rsidRDefault="000742C3" w:rsidP="000742C3">
      <w:pPr>
        <w:ind w:firstLine="480"/>
        <w:rPr>
          <w:rFonts w:ascii="宋体" w:hAnsi="宋体" w:cs="仿宋" w:hint="eastAsia"/>
        </w:rPr>
      </w:pPr>
      <w:r w:rsidRPr="00DE6A8D">
        <w:rPr>
          <w:rFonts w:ascii="宋体" w:hAnsi="宋体" w:cs="仿宋" w:hint="eastAsia"/>
        </w:rPr>
        <w:t>4、扩展性原则：</w:t>
      </w:r>
    </w:p>
    <w:p w14:paraId="4BB0EFCD" w14:textId="77777777" w:rsidR="000742C3" w:rsidRPr="00DE6A8D" w:rsidRDefault="000742C3" w:rsidP="000742C3">
      <w:pPr>
        <w:ind w:firstLine="480"/>
        <w:rPr>
          <w:rFonts w:ascii="宋体" w:hAnsi="宋体" w:cs="仿宋" w:hint="eastAsia"/>
        </w:rPr>
      </w:pPr>
      <w:r w:rsidRPr="00DE6A8D">
        <w:rPr>
          <w:rFonts w:ascii="宋体" w:hAnsi="宋体" w:cs="仿宋" w:hint="eastAsia"/>
        </w:rPr>
        <w:t>在评估过程结束后，信息安全测评过程要保持扩展性，从扩展的属性上进一步加强测评结束后采购方的安全管理有效性和可用性。</w:t>
      </w:r>
    </w:p>
    <w:p w14:paraId="5DEC695B" w14:textId="77777777" w:rsidR="000742C3" w:rsidRPr="00DE6A8D" w:rsidRDefault="000742C3" w:rsidP="000742C3">
      <w:pPr>
        <w:ind w:firstLine="480"/>
        <w:rPr>
          <w:rFonts w:ascii="宋体" w:hAnsi="宋体" w:cs="仿宋" w:hint="eastAsia"/>
        </w:rPr>
      </w:pPr>
      <w:r w:rsidRPr="00DE6A8D">
        <w:rPr>
          <w:rFonts w:ascii="宋体" w:hAnsi="宋体" w:cs="仿宋" w:hint="eastAsia"/>
        </w:rPr>
        <w:t>5、保密原则：</w:t>
      </w:r>
    </w:p>
    <w:p w14:paraId="5192B8C0" w14:textId="77777777" w:rsidR="000742C3" w:rsidRPr="00DE6A8D" w:rsidRDefault="000742C3" w:rsidP="000742C3">
      <w:pPr>
        <w:ind w:firstLine="480"/>
        <w:rPr>
          <w:rFonts w:ascii="宋体" w:hAnsi="宋体" w:cs="仿宋" w:hint="eastAsia"/>
        </w:rPr>
      </w:pPr>
      <w:r w:rsidRPr="00DE6A8D">
        <w:rPr>
          <w:rFonts w:ascii="宋体" w:hAnsi="宋体" w:cs="仿宋" w:hint="eastAsia"/>
        </w:rPr>
        <w:t>在测评过程中，需严格遵循保密原则，双方签订保密协议，对服务过程中涉及到的任何用户信息未经允许不向其他任何第三方泄漏，以及不得利用这些信息</w:t>
      </w:r>
      <w:r w:rsidRPr="00DE6A8D">
        <w:rPr>
          <w:rFonts w:ascii="宋体" w:hAnsi="宋体" w:cs="仿宋" w:hint="eastAsia"/>
        </w:rPr>
        <w:lastRenderedPageBreak/>
        <w:t>损害采购方利益。</w:t>
      </w:r>
    </w:p>
    <w:p w14:paraId="04C67EC9" w14:textId="77777777" w:rsidR="000742C3" w:rsidRPr="00DE6A8D" w:rsidRDefault="000742C3" w:rsidP="000742C3">
      <w:pPr>
        <w:ind w:firstLine="480"/>
        <w:rPr>
          <w:rFonts w:ascii="宋体" w:hAnsi="宋体" w:cs="仿宋" w:hint="eastAsia"/>
        </w:rPr>
      </w:pPr>
      <w:r w:rsidRPr="00DE6A8D">
        <w:rPr>
          <w:rFonts w:ascii="宋体" w:hAnsi="宋体" w:cs="仿宋" w:hint="eastAsia"/>
        </w:rPr>
        <w:t>6、互动原则：</w:t>
      </w:r>
    </w:p>
    <w:p w14:paraId="4DFAA11D" w14:textId="77777777" w:rsidR="000742C3" w:rsidRPr="00DE6A8D" w:rsidRDefault="000742C3" w:rsidP="000742C3">
      <w:pPr>
        <w:ind w:firstLine="480"/>
        <w:rPr>
          <w:rFonts w:ascii="宋体" w:hAnsi="宋体" w:cs="仿宋" w:hint="eastAsia"/>
        </w:rPr>
      </w:pPr>
      <w:r w:rsidRPr="00DE6A8D">
        <w:rPr>
          <w:rFonts w:ascii="宋体" w:hAnsi="宋体" w:cs="仿宋" w:hint="eastAsia"/>
        </w:rPr>
        <w:t>在整个测评过程中，强调采购方的互动参与，每个阶段都能够及时根据采购方的要求和实际情况对测评的内容、方式做出相关调整，进而更好的进行风险评估工作。</w:t>
      </w:r>
    </w:p>
    <w:p w14:paraId="2303A2F0" w14:textId="77777777" w:rsidR="000742C3" w:rsidRPr="00DE6A8D" w:rsidRDefault="000742C3" w:rsidP="000742C3">
      <w:pPr>
        <w:ind w:firstLine="480"/>
        <w:rPr>
          <w:rFonts w:ascii="宋体" w:hAnsi="宋体" w:cs="仿宋" w:hint="eastAsia"/>
        </w:rPr>
      </w:pPr>
      <w:r w:rsidRPr="00DE6A8D">
        <w:rPr>
          <w:rFonts w:ascii="宋体" w:hAnsi="宋体" w:cs="仿宋" w:hint="eastAsia"/>
        </w:rPr>
        <w:t>7、最小影响原则：</w:t>
      </w:r>
    </w:p>
    <w:p w14:paraId="5D8E9D03" w14:textId="77777777" w:rsidR="000742C3" w:rsidRPr="00DE6A8D" w:rsidRDefault="000742C3" w:rsidP="000742C3">
      <w:pPr>
        <w:ind w:firstLine="480"/>
        <w:rPr>
          <w:rFonts w:ascii="宋体" w:hAnsi="宋体" w:cs="仿宋" w:hint="eastAsia"/>
        </w:rPr>
      </w:pPr>
      <w:r w:rsidRPr="00DE6A8D">
        <w:rPr>
          <w:rFonts w:ascii="宋体" w:hAnsi="宋体" w:cs="仿宋" w:hint="eastAsia"/>
        </w:rPr>
        <w:t>测评工作应该尽可能小地影响系统和网络的正常运行，不能对业务的正常运行产生明显的影响（包括系统性能明显下降、网络阻塞、服务中断等），如无法避免，则应做出说明。</w:t>
      </w:r>
    </w:p>
    <w:p w14:paraId="432A7566" w14:textId="77777777" w:rsidR="000742C3" w:rsidRPr="00DE6A8D" w:rsidRDefault="000742C3" w:rsidP="000742C3">
      <w:pPr>
        <w:ind w:firstLine="480"/>
        <w:rPr>
          <w:rFonts w:ascii="宋体" w:hAnsi="宋体" w:cs="仿宋" w:hint="eastAsia"/>
        </w:rPr>
      </w:pPr>
      <w:r w:rsidRPr="00DE6A8D">
        <w:rPr>
          <w:rFonts w:ascii="宋体" w:hAnsi="宋体" w:cs="仿宋" w:hint="eastAsia"/>
        </w:rPr>
        <w:t>8、规范性原则：</w:t>
      </w:r>
    </w:p>
    <w:p w14:paraId="4EE6A6D1" w14:textId="77777777" w:rsidR="000742C3" w:rsidRPr="00DE6A8D" w:rsidRDefault="000742C3" w:rsidP="000742C3">
      <w:pPr>
        <w:ind w:firstLine="480"/>
        <w:rPr>
          <w:rFonts w:ascii="宋体" w:hAnsi="宋体" w:cs="仿宋" w:hint="eastAsia"/>
        </w:rPr>
      </w:pPr>
      <w:r w:rsidRPr="00DE6A8D">
        <w:rPr>
          <w:rFonts w:ascii="宋体" w:hAnsi="宋体" w:cs="仿宋" w:hint="eastAsia"/>
        </w:rPr>
        <w:t>网络安全等级保护测评服务的实施必须由专业的测评服务人员依照规范的操作流程进行，对操作过程和结果要有相应的记录，并提供完整的服务报告。</w:t>
      </w:r>
    </w:p>
    <w:p w14:paraId="019A74D3" w14:textId="77777777" w:rsidR="000742C3" w:rsidRPr="00DE6A8D" w:rsidRDefault="000742C3" w:rsidP="000742C3">
      <w:pPr>
        <w:ind w:firstLine="480"/>
        <w:rPr>
          <w:rFonts w:ascii="宋体" w:hAnsi="宋体" w:cs="仿宋" w:hint="eastAsia"/>
        </w:rPr>
      </w:pPr>
      <w:r w:rsidRPr="00DE6A8D">
        <w:rPr>
          <w:rFonts w:ascii="宋体" w:hAnsi="宋体" w:cs="仿宋" w:hint="eastAsia"/>
        </w:rPr>
        <w:t>9、质量保障原则：</w:t>
      </w:r>
    </w:p>
    <w:p w14:paraId="1D806E6A" w14:textId="77777777" w:rsidR="000742C3" w:rsidRPr="00DE6A8D" w:rsidRDefault="000742C3" w:rsidP="000742C3">
      <w:pPr>
        <w:ind w:firstLine="480"/>
        <w:rPr>
          <w:rFonts w:ascii="宋体" w:hAnsi="宋体" w:cs="仿宋" w:hint="eastAsia"/>
        </w:rPr>
      </w:pPr>
      <w:r w:rsidRPr="00DE6A8D">
        <w:rPr>
          <w:rFonts w:ascii="宋体" w:hAnsi="宋体" w:cs="仿宋" w:hint="eastAsia"/>
        </w:rPr>
        <w:t>在整个测评过程中，须特别重视项目质量管理。项目的实施将严格按照项目实施方案和流程进行，并由项目协调小组从中监督，控制项目的进度和质量。</w:t>
      </w:r>
    </w:p>
    <w:p w14:paraId="63188EFB" w14:textId="77777777" w:rsidR="000742C3" w:rsidRPr="00DE6A8D" w:rsidRDefault="000742C3" w:rsidP="000742C3">
      <w:pPr>
        <w:keepNext/>
        <w:keepLines/>
        <w:ind w:firstLineChars="0"/>
        <w:outlineLvl w:val="1"/>
        <w:rPr>
          <w:rFonts w:ascii="宋体" w:hAnsi="宋体" w:cs="仿宋" w:hint="eastAsia"/>
          <w:b/>
          <w:bCs/>
        </w:rPr>
      </w:pPr>
      <w:r w:rsidRPr="00DE6A8D">
        <w:rPr>
          <w:rFonts w:ascii="宋体" w:hAnsi="宋体" w:cs="仿宋" w:hint="eastAsia"/>
          <w:b/>
          <w:bCs/>
        </w:rPr>
        <w:t>五、测评人员和时限要求</w:t>
      </w:r>
    </w:p>
    <w:p w14:paraId="40321A8C" w14:textId="77777777" w:rsidR="000742C3" w:rsidRPr="00DE6A8D" w:rsidRDefault="000742C3" w:rsidP="000742C3">
      <w:pPr>
        <w:ind w:firstLine="480"/>
        <w:rPr>
          <w:rFonts w:ascii="宋体" w:hAnsi="宋体" w:cs="仿宋" w:hint="eastAsia"/>
        </w:rPr>
      </w:pPr>
      <w:r w:rsidRPr="007E6AFD">
        <w:rPr>
          <w:rFonts w:ascii="宋体" w:hAnsi="宋体" w:cs="仿宋" w:hint="eastAsia"/>
        </w:rPr>
        <w:t>★</w:t>
      </w:r>
      <w:r w:rsidRPr="00DE6A8D">
        <w:rPr>
          <w:rFonts w:ascii="宋体" w:hAnsi="宋体" w:cs="仿宋" w:hint="eastAsia"/>
        </w:rPr>
        <w:t>1、测评人员要求：本次测评至少需要1名高级测评师，1名中级测评师，2名初级测评师。本次等保测评项目不得转包或者分包，所有</w:t>
      </w:r>
      <w:proofErr w:type="gramStart"/>
      <w:r w:rsidRPr="00DE6A8D">
        <w:rPr>
          <w:rFonts w:ascii="宋体" w:hAnsi="宋体" w:cs="仿宋" w:hint="eastAsia"/>
        </w:rPr>
        <w:t>测评师</w:t>
      </w:r>
      <w:proofErr w:type="gramEnd"/>
      <w:r w:rsidRPr="00DE6A8D">
        <w:rPr>
          <w:rFonts w:ascii="宋体" w:hAnsi="宋体" w:cs="仿宋" w:hint="eastAsia"/>
        </w:rPr>
        <w:t>必须是中标公司自己的正式员工,所有</w:t>
      </w:r>
      <w:proofErr w:type="gramStart"/>
      <w:r w:rsidRPr="00DE6A8D">
        <w:rPr>
          <w:rFonts w:ascii="宋体" w:hAnsi="宋体" w:cs="仿宋" w:hint="eastAsia"/>
        </w:rPr>
        <w:t>测评师</w:t>
      </w:r>
      <w:proofErr w:type="gramEnd"/>
      <w:r w:rsidRPr="00DE6A8D">
        <w:rPr>
          <w:rFonts w:ascii="宋体" w:hAnsi="宋体" w:cs="仿宋" w:hint="eastAsia"/>
        </w:rPr>
        <w:t>必须持证上岗，响应文件中应提供项目组成员名单、社保主管部门出具的响应单位为其缴纳社保的证明、相关证书复印件等，未经采购方同意，项目组成员不得更改。</w:t>
      </w:r>
    </w:p>
    <w:p w14:paraId="5D314978" w14:textId="77777777" w:rsidR="000742C3" w:rsidRPr="00DE6A8D" w:rsidRDefault="000742C3" w:rsidP="000742C3">
      <w:pPr>
        <w:ind w:firstLine="480"/>
        <w:rPr>
          <w:rFonts w:ascii="宋体" w:hAnsi="宋体" w:cs="仿宋" w:hint="eastAsia"/>
        </w:rPr>
      </w:pPr>
      <w:r w:rsidRPr="007E6AFD">
        <w:rPr>
          <w:rFonts w:ascii="宋体" w:hAnsi="宋体" w:cs="仿宋" w:hint="eastAsia"/>
        </w:rPr>
        <w:t>★</w:t>
      </w:r>
      <w:r w:rsidRPr="00DE6A8D">
        <w:rPr>
          <w:rFonts w:ascii="宋体" w:hAnsi="宋体" w:cs="仿宋" w:hint="eastAsia"/>
        </w:rPr>
        <w:t>2、测评时间要求：</w:t>
      </w:r>
    </w:p>
    <w:p w14:paraId="46DC6DEA" w14:textId="77777777" w:rsidR="000742C3" w:rsidRPr="00DE6A8D" w:rsidRDefault="000742C3" w:rsidP="000742C3">
      <w:pPr>
        <w:ind w:firstLine="480"/>
        <w:rPr>
          <w:rFonts w:ascii="宋体" w:hAnsi="宋体" w:cs="仿宋" w:hint="eastAsia"/>
        </w:rPr>
      </w:pPr>
      <w:r w:rsidRPr="00DE6A8D">
        <w:rPr>
          <w:rFonts w:ascii="宋体" w:hAnsi="宋体" w:cs="仿宋" w:hint="eastAsia"/>
        </w:rPr>
        <w:t>2.1、中标公示后，中标方必须在3个工作日内协助被测单位取得备案证明原件，否则做无效处理。</w:t>
      </w:r>
    </w:p>
    <w:p w14:paraId="11718460" w14:textId="77777777" w:rsidR="000742C3" w:rsidRPr="00DE6A8D" w:rsidRDefault="000742C3" w:rsidP="000742C3">
      <w:pPr>
        <w:ind w:firstLine="480"/>
        <w:rPr>
          <w:rFonts w:ascii="宋体" w:hAnsi="宋体" w:cs="仿宋" w:hint="eastAsia"/>
        </w:rPr>
      </w:pPr>
      <w:r w:rsidRPr="00DE6A8D">
        <w:rPr>
          <w:rFonts w:ascii="宋体" w:hAnsi="宋体" w:cs="仿宋" w:hint="eastAsia"/>
        </w:rPr>
        <w:t>2.2、按照被测单位要求，合同签订完毕一周内启动测评工作。</w:t>
      </w:r>
    </w:p>
    <w:p w14:paraId="4AF00C99" w14:textId="77777777" w:rsidR="000742C3" w:rsidRPr="00DE6A8D" w:rsidRDefault="000742C3" w:rsidP="000742C3">
      <w:pPr>
        <w:ind w:firstLine="480"/>
        <w:rPr>
          <w:rFonts w:ascii="宋体" w:hAnsi="宋体" w:cs="仿宋" w:hint="eastAsia"/>
        </w:rPr>
      </w:pPr>
      <w:r w:rsidRPr="00DE6A8D">
        <w:rPr>
          <w:rFonts w:ascii="宋体" w:hAnsi="宋体" w:cs="仿宋" w:hint="eastAsia"/>
        </w:rPr>
        <w:t>3、测评期限要求：签订合同后60天内完成网络安全等级保护测评并出具盖章报告。</w:t>
      </w:r>
    </w:p>
    <w:p w14:paraId="76202C7C" w14:textId="77777777" w:rsidR="000742C3" w:rsidRPr="009E2605" w:rsidRDefault="000742C3" w:rsidP="000742C3">
      <w:pPr>
        <w:keepNext/>
        <w:keepLines/>
        <w:ind w:firstLineChars="0"/>
        <w:outlineLvl w:val="1"/>
        <w:rPr>
          <w:rFonts w:ascii="宋体" w:hAnsi="宋体" w:cs="仿宋" w:hint="eastAsia"/>
          <w:b/>
          <w:bCs/>
        </w:rPr>
      </w:pPr>
      <w:r w:rsidRPr="00DE6A8D">
        <w:rPr>
          <w:rFonts w:ascii="宋体" w:hAnsi="宋体" w:cs="仿宋" w:hint="eastAsia"/>
          <w:b/>
          <w:bCs/>
        </w:rPr>
        <w:t>六、服务</w:t>
      </w:r>
      <w:r>
        <w:rPr>
          <w:rFonts w:ascii="宋体" w:hAnsi="宋体" w:cs="仿宋" w:hint="eastAsia"/>
          <w:b/>
          <w:bCs/>
        </w:rPr>
        <w:t>时间及</w:t>
      </w:r>
      <w:r w:rsidRPr="00DE6A8D">
        <w:rPr>
          <w:rFonts w:ascii="宋体" w:hAnsi="宋体" w:cs="仿宋" w:hint="eastAsia"/>
          <w:b/>
          <w:bCs/>
        </w:rPr>
        <w:t>地点</w:t>
      </w:r>
    </w:p>
    <w:p w14:paraId="4B578842" w14:textId="77777777" w:rsidR="000742C3" w:rsidRDefault="000742C3" w:rsidP="000742C3">
      <w:pPr>
        <w:ind w:firstLine="480"/>
        <w:rPr>
          <w:rFonts w:ascii="宋体" w:hAnsi="宋体" w:cs="宋体"/>
          <w:bCs/>
          <w:kern w:val="0"/>
        </w:rPr>
      </w:pPr>
      <w:r>
        <w:rPr>
          <w:rFonts w:ascii="宋体" w:hAnsi="宋体" w:cs="宋体" w:hint="eastAsia"/>
          <w:bCs/>
          <w:kern w:val="0"/>
        </w:rPr>
        <w:t>服务时间：自合同签订之日一年。</w:t>
      </w:r>
    </w:p>
    <w:p w14:paraId="78132583" w14:textId="77777777" w:rsidR="000742C3" w:rsidRPr="00DE6A8D" w:rsidRDefault="000742C3" w:rsidP="000742C3">
      <w:pPr>
        <w:ind w:firstLine="480"/>
        <w:rPr>
          <w:rFonts w:ascii="宋体" w:hAnsi="宋体" w:hint="eastAsia"/>
        </w:rPr>
      </w:pPr>
      <w:r>
        <w:rPr>
          <w:rFonts w:ascii="宋体" w:hAnsi="宋体" w:cs="宋体" w:hint="eastAsia"/>
          <w:bCs/>
          <w:kern w:val="0"/>
        </w:rPr>
        <w:t>服务地点：</w:t>
      </w:r>
      <w:r w:rsidRPr="00DE6A8D">
        <w:rPr>
          <w:rFonts w:ascii="宋体" w:hAnsi="宋体" w:cs="宋体" w:hint="eastAsia"/>
          <w:bCs/>
          <w:kern w:val="0"/>
        </w:rPr>
        <w:t>采购方</w:t>
      </w:r>
      <w:r w:rsidRPr="00DE6A8D">
        <w:rPr>
          <w:rFonts w:ascii="宋体" w:hAnsi="宋体" w:hint="eastAsia"/>
          <w:kern w:val="0"/>
        </w:rPr>
        <w:t>指定地点。</w:t>
      </w:r>
    </w:p>
    <w:p w14:paraId="1193151E" w14:textId="77777777" w:rsidR="000742C3" w:rsidRPr="00DE6A8D" w:rsidRDefault="000742C3" w:rsidP="000742C3">
      <w:pPr>
        <w:keepNext/>
        <w:keepLines/>
        <w:ind w:firstLineChars="0"/>
        <w:outlineLvl w:val="1"/>
        <w:rPr>
          <w:rFonts w:ascii="宋体" w:hAnsi="宋体" w:cs="仿宋" w:hint="eastAsia"/>
          <w:b/>
          <w:bCs/>
        </w:rPr>
      </w:pPr>
      <w:r w:rsidRPr="007E6AFD">
        <w:rPr>
          <w:rFonts w:ascii="宋体" w:hAnsi="宋体" w:cs="仿宋" w:hint="eastAsia"/>
          <w:b/>
          <w:bCs/>
        </w:rPr>
        <w:lastRenderedPageBreak/>
        <w:t>★</w:t>
      </w:r>
      <w:r w:rsidRPr="00DE6A8D">
        <w:rPr>
          <w:rFonts w:ascii="宋体" w:hAnsi="宋体" w:cs="仿宋" w:hint="eastAsia"/>
          <w:b/>
          <w:bCs/>
        </w:rPr>
        <w:t>七、付款时间和条件</w:t>
      </w:r>
    </w:p>
    <w:p w14:paraId="529DE38F" w14:textId="77777777" w:rsidR="000742C3" w:rsidRPr="00DE6A8D" w:rsidRDefault="000742C3" w:rsidP="000742C3">
      <w:pPr>
        <w:ind w:firstLine="480"/>
        <w:rPr>
          <w:rFonts w:ascii="宋体" w:hAnsi="宋体" w:hint="eastAsia"/>
        </w:rPr>
      </w:pPr>
      <w:r w:rsidRPr="00DE6A8D">
        <w:rPr>
          <w:rFonts w:ascii="宋体" w:hAnsi="宋体" w:hint="eastAsia"/>
        </w:rPr>
        <w:t>测评单位提交测评报告且通过项目验收后的20日内，采购人一次性支付合同金额</w:t>
      </w:r>
      <w:r w:rsidRPr="00DE6A8D">
        <w:rPr>
          <w:rFonts w:ascii="宋体" w:hAnsi="宋体" w:hint="eastAsia"/>
          <w:kern w:val="0"/>
        </w:rPr>
        <w:t>。</w:t>
      </w:r>
    </w:p>
    <w:p w14:paraId="32A301B6" w14:textId="77777777" w:rsidR="000742C3" w:rsidRPr="000742C3" w:rsidRDefault="000742C3">
      <w:pPr>
        <w:ind w:firstLine="480"/>
      </w:pPr>
    </w:p>
    <w:sectPr w:rsidR="000742C3" w:rsidRPr="000742C3">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仿宋_GB2312">
    <w:altName w:val="微软雅黑"/>
    <w:charset w:val="86"/>
    <w:family w:val="auto"/>
    <w:pitch w:val="default"/>
    <w:sig w:usb0="00000001" w:usb1="080E0000" w:usb2="0000000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微软雅黑"/>
    <w:charset w:val="86"/>
    <w:family w:val="auto"/>
    <w:pitch w:val="default"/>
    <w:sig w:usb0="00000001" w:usb1="080E0000" w:usb2="0000000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42C3"/>
    <w:rsid w:val="000742C3"/>
    <w:rsid w:val="00946B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E30E896"/>
  <w15:chartTrackingRefBased/>
  <w15:docId w15:val="{6AF666CC-3BB7-4875-8056-30EF040554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2"/>
    <w:qFormat/>
    <w:rsid w:val="000742C3"/>
    <w:pPr>
      <w:widowControl w:val="0"/>
      <w:spacing w:line="460" w:lineRule="exact"/>
      <w:ind w:firstLineChars="200" w:firstLine="200"/>
      <w:jc w:val="both"/>
    </w:pPr>
    <w:rPr>
      <w:rFonts w:ascii="Times New Roman" w:eastAsia="宋体" w:hAnsi="Times New Roman" w:cs="Times New Roman"/>
      <w:sz w:val="24"/>
      <w:szCs w:val="24"/>
      <w14:ligatures w14:val="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semiHidden/>
    <w:unhideWhenUsed/>
    <w:rsid w:val="000742C3"/>
    <w:pPr>
      <w:spacing w:after="120"/>
      <w:ind w:leftChars="200" w:left="420"/>
    </w:pPr>
  </w:style>
  <w:style w:type="character" w:customStyle="1" w:styleId="a4">
    <w:name w:val="正文文本缩进 字符"/>
    <w:basedOn w:val="a0"/>
    <w:link w:val="a3"/>
    <w:uiPriority w:val="99"/>
    <w:semiHidden/>
    <w:rsid w:val="000742C3"/>
    <w:rPr>
      <w:rFonts w:ascii="Times New Roman" w:eastAsia="宋体" w:hAnsi="Times New Roman" w:cs="Times New Roman"/>
      <w:sz w:val="24"/>
      <w:szCs w:val="24"/>
      <w14:ligatures w14:val="none"/>
    </w:rPr>
  </w:style>
  <w:style w:type="paragraph" w:styleId="2">
    <w:name w:val="Body Text First Indent 2"/>
    <w:basedOn w:val="a3"/>
    <w:link w:val="20"/>
    <w:uiPriority w:val="99"/>
    <w:semiHidden/>
    <w:unhideWhenUsed/>
    <w:rsid w:val="000742C3"/>
    <w:pPr>
      <w:ind w:firstLine="420"/>
    </w:pPr>
  </w:style>
  <w:style w:type="character" w:customStyle="1" w:styleId="20">
    <w:name w:val="正文文本首行缩进 2 字符"/>
    <w:basedOn w:val="a4"/>
    <w:link w:val="2"/>
    <w:uiPriority w:val="99"/>
    <w:semiHidden/>
    <w:rsid w:val="000742C3"/>
    <w:rPr>
      <w:rFonts w:ascii="Times New Roman" w:eastAsia="宋体" w:hAnsi="Times New Roman" w:cs="Times New Roman"/>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Pages>
  <Words>327</Words>
  <Characters>1868</Characters>
  <Application>Microsoft Office Word</Application>
  <DocSecurity>0</DocSecurity>
  <Lines>15</Lines>
  <Paragraphs>4</Paragraphs>
  <ScaleCrop>false</ScaleCrop>
  <Company/>
  <LinksUpToDate>false</LinksUpToDate>
  <CharactersWithSpaces>2191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yuewen Sun</dc:creator>
  <cp:keywords/>
  <dc:description/>
  <cp:lastModifiedBy>yuewen Sun</cp:lastModifiedBy>
  <cp:revision>1</cp:revision>
  <dcterms:created xsi:type="dcterms:W3CDTF">2024-09-06T07:41:00Z</dcterms:created>
  <dcterms:modified xsi:type="dcterms:W3CDTF">2024-09-06T07:42:00Z</dcterms:modified>
</cp:coreProperties>
</file>