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592B3" w14:textId="77777777" w:rsidR="00053F4C" w:rsidRDefault="00053F4C" w:rsidP="00053F4C">
      <w:pPr>
        <w:autoSpaceDE w:val="0"/>
        <w:autoSpaceDN w:val="0"/>
        <w:adjustRightInd w:val="0"/>
        <w:snapToGrid w:val="0"/>
        <w:ind w:firstLine="723"/>
        <w:jc w:val="center"/>
        <w:outlineLvl w:val="0"/>
        <w:rPr>
          <w:rFonts w:ascii="仿宋_GB2312" w:eastAsia="仿宋_GB2312" w:hAnsi="宋体" w:hint="eastAsia"/>
          <w:b/>
          <w:sz w:val="28"/>
          <w:szCs w:val="28"/>
        </w:rPr>
      </w:pPr>
      <w:r>
        <w:rPr>
          <w:rFonts w:ascii="宋体" w:hAnsi="宋体" w:hint="eastAsia"/>
          <w:b/>
          <w:bCs/>
          <w:sz w:val="36"/>
          <w:szCs w:val="36"/>
          <w:lang w:val="zh-CN"/>
        </w:rPr>
        <w:t>项目需求</w:t>
      </w:r>
    </w:p>
    <w:p w14:paraId="12C9A93C" w14:textId="77777777" w:rsidR="00053F4C" w:rsidRDefault="00053F4C" w:rsidP="00053F4C">
      <w:pPr>
        <w:widowControl/>
        <w:ind w:firstLine="482"/>
        <w:jc w:val="left"/>
        <w:rPr>
          <w:rFonts w:ascii="宋体" w:hAnsi="宋体" w:cs="仿宋"/>
          <w:kern w:val="0"/>
          <w:shd w:val="clear" w:color="auto" w:fill="FFFFFF"/>
          <w:lang w:bidi="ar"/>
        </w:rPr>
      </w:pPr>
      <w:bookmarkStart w:id="0" w:name="_Hlk137722216"/>
      <w:r>
        <w:rPr>
          <w:rFonts w:ascii="宋体" w:hAnsi="宋体" w:cs="仿宋" w:hint="eastAsia"/>
          <w:b/>
          <w:bCs/>
          <w:kern w:val="0"/>
          <w:shd w:val="clear" w:color="auto" w:fill="FFFFFF"/>
          <w:lang w:bidi="ar"/>
        </w:rPr>
        <w:t>特别提醒：请供应</w:t>
      </w:r>
      <w:proofErr w:type="gramStart"/>
      <w:r>
        <w:rPr>
          <w:rFonts w:ascii="宋体" w:hAnsi="宋体" w:cs="仿宋" w:hint="eastAsia"/>
          <w:b/>
          <w:bCs/>
          <w:kern w:val="0"/>
          <w:shd w:val="clear" w:color="auto" w:fill="FFFFFF"/>
          <w:lang w:bidi="ar"/>
        </w:rPr>
        <w:t>商制作</w:t>
      </w:r>
      <w:proofErr w:type="gramEnd"/>
      <w:r>
        <w:rPr>
          <w:rFonts w:ascii="宋体" w:hAnsi="宋体" w:cs="仿宋" w:hint="eastAsia"/>
          <w:b/>
          <w:bCs/>
          <w:kern w:val="0"/>
          <w:shd w:val="clear" w:color="auto" w:fill="FFFFFF"/>
          <w:lang w:bidi="ar"/>
        </w:rPr>
        <w:t>询价响应文件时仔细研究项目需求说明。</w:t>
      </w:r>
      <w:r>
        <w:rPr>
          <w:rFonts w:ascii="宋体" w:hAnsi="宋体" w:cs="仿宋" w:hint="eastAsia"/>
          <w:kern w:val="0"/>
          <w:shd w:val="clear" w:color="auto" w:fill="FFFFFF"/>
          <w:lang w:bidi="ar"/>
        </w:rPr>
        <w:t>供应商不能简单照搬照抄采购单位项目需求说明中的技术要求，必须作实事求是的响应。如照搬照抄项目需求说明中的技术要求，成交后供应商在同采购单位签订合同和履约环节中不得提出异议，一切后果和损失</w:t>
      </w:r>
      <w:proofErr w:type="gramStart"/>
      <w:r>
        <w:rPr>
          <w:rFonts w:ascii="宋体" w:hAnsi="宋体" w:cs="仿宋" w:hint="eastAsia"/>
          <w:kern w:val="0"/>
          <w:shd w:val="clear" w:color="auto" w:fill="FFFFFF"/>
          <w:lang w:bidi="ar"/>
        </w:rPr>
        <w:t>由成交</w:t>
      </w:r>
      <w:proofErr w:type="gramEnd"/>
      <w:r>
        <w:rPr>
          <w:rFonts w:ascii="宋体" w:hAnsi="宋体" w:cs="仿宋" w:hint="eastAsia"/>
          <w:kern w:val="0"/>
          <w:shd w:val="clear" w:color="auto" w:fill="FFFFFF"/>
          <w:lang w:bidi="ar"/>
        </w:rPr>
        <w:t>供应商承担。如供应商提供的货物和服务同采购单位提出的项目需求说明中的技术要求不同的，必须在《技术条款响应一览表》上明示。</w:t>
      </w:r>
    </w:p>
    <w:p w14:paraId="5D6E0BDB" w14:textId="77777777" w:rsidR="00053F4C" w:rsidRPr="003D76F4" w:rsidRDefault="00053F4C" w:rsidP="00053F4C">
      <w:pPr>
        <w:keepLines/>
        <w:widowControl/>
        <w:numPr>
          <w:ilvl w:val="0"/>
          <w:numId w:val="1"/>
        </w:numPr>
        <w:ind w:left="0" w:firstLine="482"/>
        <w:jc w:val="left"/>
        <w:outlineLvl w:val="0"/>
        <w:rPr>
          <w:rFonts w:ascii="宋体" w:hAnsi="宋体" w:cs="仿宋_GB2312" w:hint="eastAsia"/>
          <w:b/>
          <w:bCs/>
          <w:kern w:val="44"/>
        </w:rPr>
      </w:pPr>
      <w:bookmarkStart w:id="1" w:name="_Toc138683546"/>
      <w:bookmarkStart w:id="2" w:name="_Toc131153894"/>
      <w:bookmarkStart w:id="3" w:name="_Toc143612503"/>
      <w:bookmarkEnd w:id="0"/>
      <w:r w:rsidRPr="003D76F4">
        <w:rPr>
          <w:rFonts w:ascii="宋体" w:hAnsi="宋体" w:cs="仿宋_GB2312" w:hint="eastAsia"/>
          <w:b/>
          <w:bCs/>
          <w:kern w:val="0"/>
        </w:rPr>
        <w:t>项目概述</w:t>
      </w:r>
      <w:bookmarkEnd w:id="1"/>
      <w:bookmarkEnd w:id="2"/>
      <w:bookmarkEnd w:id="3"/>
    </w:p>
    <w:p w14:paraId="61C9BF13"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t>“网络空间安全关乎国家安全。” 网络空间与社会稳定、经济发展、文化繁荣和国防安全息息相关，其安全已成为国家安全的重要组成部分。随着大数据、云计算、物联网、移动通信、区域链、人工智能等技术的迅速发展和应用，对网络空间安全防护提出了新的需求和挑战。</w:t>
      </w:r>
    </w:p>
    <w:p w14:paraId="13B43909"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t>尤其在网络安全法、</w:t>
      </w:r>
      <w:proofErr w:type="gramStart"/>
      <w:r w:rsidRPr="003D76F4">
        <w:rPr>
          <w:rFonts w:ascii="宋体" w:hAnsi="宋体" w:cs="仿宋_GB2312" w:hint="eastAsia"/>
        </w:rPr>
        <w:t>等保</w:t>
      </w:r>
      <w:proofErr w:type="gramEnd"/>
      <w:r w:rsidRPr="003D76F4">
        <w:rPr>
          <w:rFonts w:ascii="宋体" w:hAnsi="宋体" w:cs="仿宋_GB2312" w:hint="eastAsia"/>
        </w:rPr>
        <w:t>2.0的背景下，对网络安全运营者提出了更高的要求。各级网络安全主管部门对各党政机关、各企事业单位的网络安全工作提出了更高的要求，各主管部门的网络安全监管也日益加强。</w:t>
      </w:r>
    </w:p>
    <w:p w14:paraId="03FCCEC9"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t>“网络安全责任制”的落实，不单只是靠购买网络安全产品就能实现，信息系统的网络安全运营工作的系统性、复杂性、动态性决定了必须要有专业的技术力量针对用户个性化的信息化系统与实际的合</w:t>
      </w:r>
      <w:proofErr w:type="gramStart"/>
      <w:r w:rsidRPr="003D76F4">
        <w:rPr>
          <w:rFonts w:ascii="宋体" w:hAnsi="宋体" w:cs="仿宋_GB2312" w:hint="eastAsia"/>
        </w:rPr>
        <w:t>规</w:t>
      </w:r>
      <w:proofErr w:type="gramEnd"/>
      <w:r w:rsidRPr="003D76F4">
        <w:rPr>
          <w:rFonts w:ascii="宋体" w:hAnsi="宋体" w:cs="仿宋_GB2312" w:hint="eastAsia"/>
        </w:rPr>
        <w:t>性需求才能更好的落实网络安全责任。</w:t>
      </w:r>
    </w:p>
    <w:p w14:paraId="1495B78F" w14:textId="77777777" w:rsidR="00053F4C" w:rsidRPr="003D76F4" w:rsidRDefault="00053F4C" w:rsidP="00053F4C">
      <w:pPr>
        <w:keepLines/>
        <w:widowControl/>
        <w:numPr>
          <w:ilvl w:val="0"/>
          <w:numId w:val="1"/>
        </w:numPr>
        <w:ind w:left="0" w:firstLine="482"/>
        <w:jc w:val="left"/>
        <w:outlineLvl w:val="0"/>
        <w:rPr>
          <w:rFonts w:ascii="宋体" w:hAnsi="宋体" w:cs="仿宋_GB2312" w:hint="eastAsia"/>
          <w:b/>
          <w:bCs/>
          <w:kern w:val="0"/>
        </w:rPr>
      </w:pPr>
      <w:bookmarkStart w:id="4" w:name="_Toc138683570"/>
      <w:bookmarkStart w:id="5" w:name="_Toc143612512"/>
      <w:bookmarkStart w:id="6" w:name="_Toc138683549"/>
      <w:bookmarkStart w:id="7" w:name="_Toc143612506"/>
      <w:bookmarkStart w:id="8" w:name="_Toc131153960"/>
      <w:r w:rsidRPr="003D76F4">
        <w:rPr>
          <w:rFonts w:ascii="宋体" w:hAnsi="宋体" w:cs="仿宋_GB2312" w:hint="eastAsia"/>
          <w:b/>
          <w:bCs/>
          <w:kern w:val="0"/>
        </w:rPr>
        <w:t>项目依据</w:t>
      </w:r>
      <w:bookmarkEnd w:id="4"/>
      <w:bookmarkEnd w:id="5"/>
    </w:p>
    <w:p w14:paraId="4EAFA7D0"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《中华人民共和国网络安全法》</w:t>
      </w:r>
    </w:p>
    <w:p w14:paraId="43C5BF9D"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《中华人民共和国密码法》</w:t>
      </w:r>
    </w:p>
    <w:p w14:paraId="1454B6D7"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w:t>
      </w:r>
      <w:hyperlink r:id="rId5" w:tgtFrame="_blank" w:history="1">
        <w:r w:rsidRPr="003D76F4">
          <w:rPr>
            <w:rFonts w:ascii="宋体" w:hAnsi="宋体" w:cs="仿宋_GB2312" w:hint="eastAsia"/>
            <w:kern w:val="0"/>
          </w:rPr>
          <w:t>中华人民共和国数据安全法</w:t>
        </w:r>
      </w:hyperlink>
      <w:r w:rsidRPr="003D76F4">
        <w:rPr>
          <w:rFonts w:ascii="宋体" w:hAnsi="宋体" w:cs="仿宋_GB2312" w:hint="eastAsia"/>
          <w:kern w:val="0"/>
        </w:rPr>
        <w:t>》</w:t>
      </w:r>
    </w:p>
    <w:p w14:paraId="10F7108E"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《计算机信息系统安全保护条例》</w:t>
      </w:r>
    </w:p>
    <w:p w14:paraId="7142BEC5"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《国家信息化领导小组关于加强信息安全保障工作的意见》</w:t>
      </w:r>
    </w:p>
    <w:p w14:paraId="289D8BB2"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《国务院关于大力推进信息化发展和切实保障信息安全的若干意见》</w:t>
      </w:r>
    </w:p>
    <w:p w14:paraId="3F04F685"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GB/T 36635-2018《信息安全技术 网络安全监测基本要求与实施指南》</w:t>
      </w:r>
    </w:p>
    <w:p w14:paraId="3C721167"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GB/Z 20985-2007 《信息技术 安全技术 信息安全事件管理指南》</w:t>
      </w:r>
    </w:p>
    <w:p w14:paraId="7F126206"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GB/Z 20986-2007 《信息安全技术 信息安全事件分类分级指南》</w:t>
      </w:r>
    </w:p>
    <w:p w14:paraId="7F477690"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GB/T 25070-2019《信息安全技术 网络安全事件应急处理技术要求》</w:t>
      </w:r>
    </w:p>
    <w:p w14:paraId="739C7236"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lastRenderedPageBreak/>
        <w:t>GB/T 28448-2012《信息安全技术 网络安全等级保护评估指南》</w:t>
      </w:r>
    </w:p>
    <w:p w14:paraId="53D68437"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GB/T 35273-2020《信息安全技术 个人信息安全规范》</w:t>
      </w:r>
    </w:p>
    <w:p w14:paraId="679B22E5"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GB/T 20274.2-2013 《信息安全技术 网络安全基本框架》</w:t>
      </w:r>
    </w:p>
    <w:p w14:paraId="4596A121" w14:textId="77777777" w:rsidR="00053F4C" w:rsidRPr="003D76F4" w:rsidRDefault="00053F4C" w:rsidP="00053F4C">
      <w:pPr>
        <w:widowControl/>
        <w:numPr>
          <w:ilvl w:val="0"/>
          <w:numId w:val="2"/>
        </w:numPr>
        <w:ind w:left="0" w:firstLine="480"/>
        <w:jc w:val="left"/>
        <w:rPr>
          <w:rFonts w:ascii="宋体" w:hAnsi="宋体" w:cs="仿宋_GB2312" w:hint="eastAsia"/>
          <w:kern w:val="0"/>
        </w:rPr>
      </w:pPr>
      <w:r w:rsidRPr="003D76F4">
        <w:rPr>
          <w:rFonts w:ascii="宋体" w:hAnsi="宋体" w:cs="仿宋_GB2312" w:hint="eastAsia"/>
          <w:kern w:val="0"/>
        </w:rPr>
        <w:t>GB/T 20984-2022《信息安全技术 信息安全风险评估方法》</w:t>
      </w:r>
    </w:p>
    <w:p w14:paraId="3EB04515" w14:textId="77777777" w:rsidR="00053F4C" w:rsidRPr="003D76F4" w:rsidRDefault="00053F4C" w:rsidP="00053F4C">
      <w:pPr>
        <w:widowControl/>
        <w:numPr>
          <w:ilvl w:val="0"/>
          <w:numId w:val="2"/>
        </w:numPr>
        <w:ind w:left="0" w:firstLine="480"/>
        <w:jc w:val="left"/>
        <w:rPr>
          <w:rFonts w:ascii="宋体" w:hAnsi="宋体" w:cs="仿宋_GB2312" w:hint="eastAsia"/>
        </w:rPr>
      </w:pPr>
      <w:r w:rsidRPr="003D76F4">
        <w:rPr>
          <w:rFonts w:ascii="宋体" w:hAnsi="宋体" w:cs="仿宋_GB2312" w:hint="eastAsia"/>
          <w:kern w:val="0"/>
        </w:rPr>
        <w:t>《2024网络安全工作责任制落实情况考核指标》</w:t>
      </w:r>
    </w:p>
    <w:p w14:paraId="0B570528" w14:textId="77777777" w:rsidR="00053F4C" w:rsidRPr="003D76F4" w:rsidRDefault="00053F4C" w:rsidP="00053F4C">
      <w:pPr>
        <w:keepLines/>
        <w:widowControl/>
        <w:numPr>
          <w:ilvl w:val="0"/>
          <w:numId w:val="1"/>
        </w:numPr>
        <w:ind w:left="0" w:firstLine="482"/>
        <w:jc w:val="left"/>
        <w:outlineLvl w:val="0"/>
        <w:rPr>
          <w:rFonts w:ascii="宋体" w:hAnsi="宋体" w:cs="仿宋_GB2312" w:hint="eastAsia"/>
          <w:b/>
          <w:bCs/>
          <w:kern w:val="0"/>
        </w:rPr>
      </w:pPr>
      <w:r w:rsidRPr="003D76F4">
        <w:rPr>
          <w:rFonts w:ascii="宋体" w:hAnsi="宋体" w:cs="仿宋_GB2312" w:hint="eastAsia"/>
          <w:b/>
          <w:bCs/>
          <w:kern w:val="0"/>
        </w:rPr>
        <w:t>项目需求</w:t>
      </w:r>
      <w:bookmarkEnd w:id="6"/>
      <w:bookmarkEnd w:id="7"/>
    </w:p>
    <w:p w14:paraId="246D90CC" w14:textId="77777777" w:rsidR="00053F4C" w:rsidRPr="003D76F4" w:rsidRDefault="00053F4C" w:rsidP="00053F4C">
      <w:pPr>
        <w:widowControl/>
        <w:numPr>
          <w:ilvl w:val="0"/>
          <w:numId w:val="3"/>
        </w:numPr>
        <w:ind w:firstLine="480"/>
        <w:jc w:val="left"/>
        <w:rPr>
          <w:rFonts w:ascii="宋体" w:hAnsi="宋体" w:cs="仿宋_GB2312" w:hint="eastAsia"/>
        </w:rPr>
      </w:pPr>
      <w:r w:rsidRPr="003D76F4">
        <w:rPr>
          <w:rFonts w:ascii="宋体" w:hAnsi="宋体" w:cs="仿宋_GB2312" w:hint="eastAsia"/>
        </w:rPr>
        <w:t>全市法院网络安全检查</w:t>
      </w:r>
    </w:p>
    <w:p w14:paraId="1A589D9B"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t>协助南通市中级人民法院对法院及下辖9个区县法院进行网络安全检查，包含两次现场检查和两次远程检查。</w:t>
      </w:r>
    </w:p>
    <w:p w14:paraId="54A2FF53"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t>现场检查包括：网络安全责任制落实情况检查（台账检查）；技术防护情况检查（登机查看网络安全防护设备策略配置等）；安全漏洞检查（进行漏扫检查）；弱口令专项检查。</w:t>
      </w:r>
    </w:p>
    <w:p w14:paraId="0C29FFF4"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t>远程检查包括：在南通市中级人民法院对辖区法院内外网进行渗透测试以及漏洞扫描，并出具检测报告。</w:t>
      </w:r>
    </w:p>
    <w:p w14:paraId="424CDD3A" w14:textId="77777777" w:rsidR="00053F4C" w:rsidRPr="003D76F4" w:rsidRDefault="00053F4C" w:rsidP="00053F4C">
      <w:pPr>
        <w:widowControl/>
        <w:numPr>
          <w:ilvl w:val="0"/>
          <w:numId w:val="3"/>
        </w:numPr>
        <w:ind w:firstLine="480"/>
        <w:jc w:val="left"/>
        <w:rPr>
          <w:rFonts w:ascii="宋体" w:hAnsi="宋体" w:cs="仿宋_GB2312" w:hint="eastAsia"/>
        </w:rPr>
      </w:pPr>
      <w:r w:rsidRPr="003D76F4">
        <w:rPr>
          <w:rFonts w:ascii="宋体" w:hAnsi="宋体" w:cs="仿宋_GB2312" w:hint="eastAsia"/>
        </w:rPr>
        <w:t>重要时期网络安全保障</w:t>
      </w:r>
    </w:p>
    <w:p w14:paraId="19CFCCA5"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t>在全国法院攻防演练、</w:t>
      </w:r>
      <w:proofErr w:type="gramStart"/>
      <w:r w:rsidRPr="003D76F4">
        <w:rPr>
          <w:rFonts w:ascii="宋体" w:hAnsi="宋体" w:cs="仿宋_GB2312" w:hint="eastAsia"/>
        </w:rPr>
        <w:t>网安行动</w:t>
      </w:r>
      <w:proofErr w:type="gramEnd"/>
      <w:r w:rsidRPr="003D76F4">
        <w:rPr>
          <w:rFonts w:ascii="宋体" w:hAnsi="宋体" w:cs="仿宋_GB2312" w:hint="eastAsia"/>
        </w:rPr>
        <w:t>、护网行动、两会、国庆、</w:t>
      </w:r>
      <w:proofErr w:type="gramStart"/>
      <w:r w:rsidRPr="003D76F4">
        <w:rPr>
          <w:rFonts w:ascii="宋体" w:hAnsi="宋体" w:cs="仿宋_GB2312" w:hint="eastAsia"/>
        </w:rPr>
        <w:t>公祭日</w:t>
      </w:r>
      <w:proofErr w:type="gramEnd"/>
      <w:r w:rsidRPr="003D76F4">
        <w:rPr>
          <w:rFonts w:ascii="宋体" w:hAnsi="宋体" w:cs="仿宋_GB2312" w:hint="eastAsia"/>
        </w:rPr>
        <w:t>等重要敏感时间期间，安排人员在南通市中级人民法院进行驻场保障，提供现场技术支撑。</w:t>
      </w:r>
    </w:p>
    <w:p w14:paraId="53EA8FDC" w14:textId="77777777" w:rsidR="00053F4C" w:rsidRPr="003D76F4" w:rsidRDefault="00053F4C" w:rsidP="00053F4C">
      <w:pPr>
        <w:widowControl/>
        <w:numPr>
          <w:ilvl w:val="0"/>
          <w:numId w:val="3"/>
        </w:numPr>
        <w:ind w:firstLine="480"/>
        <w:jc w:val="left"/>
        <w:rPr>
          <w:rFonts w:ascii="宋体" w:hAnsi="宋体" w:cs="仿宋_GB2312" w:hint="eastAsia"/>
        </w:rPr>
      </w:pPr>
      <w:r w:rsidRPr="003D76F4">
        <w:rPr>
          <w:rFonts w:ascii="宋体" w:hAnsi="宋体" w:cs="仿宋_GB2312" w:hint="eastAsia"/>
        </w:rPr>
        <w:t>应急演练</w:t>
      </w:r>
    </w:p>
    <w:p w14:paraId="689DD46B"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t>在南通市中级人民法院内开展网络安全应急演练，具体包括制定演练方案、搭建演练环境、实施应急演练，全程记录安全事件应急过程，并最终形成《应急演练总结报告》。</w:t>
      </w:r>
    </w:p>
    <w:p w14:paraId="09EB037C" w14:textId="77777777" w:rsidR="00053F4C" w:rsidRPr="003D76F4" w:rsidRDefault="00053F4C" w:rsidP="00053F4C">
      <w:pPr>
        <w:widowControl/>
        <w:numPr>
          <w:ilvl w:val="0"/>
          <w:numId w:val="3"/>
        </w:numPr>
        <w:ind w:firstLine="480"/>
        <w:jc w:val="left"/>
        <w:rPr>
          <w:rFonts w:ascii="宋体" w:hAnsi="宋体" w:cs="仿宋_GB2312" w:hint="eastAsia"/>
        </w:rPr>
      </w:pPr>
      <w:r w:rsidRPr="003D76F4">
        <w:rPr>
          <w:rFonts w:ascii="宋体" w:hAnsi="宋体" w:cs="仿宋_GB2312" w:hint="eastAsia"/>
        </w:rPr>
        <w:t>网络和数据安全、保密工作培训</w:t>
      </w:r>
    </w:p>
    <w:p w14:paraId="17F17421"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t>对南通市中级人民法院及辖区法院网络安全相关负责人、工作人员、驻场外包人员开展网络安全和数据安全、保密工作培训，培训时间为一天。</w:t>
      </w:r>
    </w:p>
    <w:p w14:paraId="2500E5CA" w14:textId="77777777" w:rsidR="00053F4C" w:rsidRPr="003D76F4" w:rsidRDefault="00053F4C" w:rsidP="00053F4C">
      <w:pPr>
        <w:widowControl/>
        <w:numPr>
          <w:ilvl w:val="0"/>
          <w:numId w:val="3"/>
        </w:numPr>
        <w:ind w:firstLine="480"/>
        <w:jc w:val="left"/>
        <w:rPr>
          <w:rFonts w:ascii="宋体" w:hAnsi="宋体" w:cs="仿宋_GB2312" w:hint="eastAsia"/>
        </w:rPr>
      </w:pPr>
      <w:r w:rsidRPr="003D76F4">
        <w:rPr>
          <w:rFonts w:ascii="宋体" w:hAnsi="宋体" w:cs="仿宋_GB2312" w:hint="eastAsia"/>
        </w:rPr>
        <w:t>软件测试、代码审计</w:t>
      </w:r>
    </w:p>
    <w:p w14:paraId="2E7C3B05"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t>南通市中级人民法院指定一个系统软件进行软件测试，根据软件与数据安全检查要求测试软件系统功能是否符合国家标准与行业标准中的相关安全要求。出具相应软件测试报告。</w:t>
      </w:r>
      <w:bookmarkEnd w:id="8"/>
    </w:p>
    <w:p w14:paraId="6EF0F0FA"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lastRenderedPageBreak/>
        <w:t>南通市中级人民法院指定一个系统软件通过白盒（代码审计）的方式检查应用系统的安全性，并出具相应审计报告。</w:t>
      </w:r>
    </w:p>
    <w:p w14:paraId="2C598F92" w14:textId="77777777" w:rsidR="00053F4C" w:rsidRPr="003D76F4" w:rsidRDefault="00053F4C" w:rsidP="00053F4C">
      <w:pPr>
        <w:widowControl/>
        <w:numPr>
          <w:ilvl w:val="0"/>
          <w:numId w:val="3"/>
        </w:numPr>
        <w:ind w:firstLine="480"/>
        <w:jc w:val="left"/>
        <w:rPr>
          <w:rFonts w:ascii="宋体" w:hAnsi="宋体" w:cs="仿宋_GB2312" w:hint="eastAsia"/>
        </w:rPr>
      </w:pPr>
      <w:r w:rsidRPr="003D76F4">
        <w:rPr>
          <w:rFonts w:ascii="宋体" w:hAnsi="宋体" w:cs="仿宋_GB2312" w:hint="eastAsia"/>
        </w:rPr>
        <w:t>风险评估</w:t>
      </w:r>
    </w:p>
    <w:p w14:paraId="02E5AB7C" w14:textId="77777777" w:rsidR="00053F4C" w:rsidRPr="003D76F4" w:rsidRDefault="00053F4C" w:rsidP="00053F4C">
      <w:pPr>
        <w:widowControl/>
        <w:ind w:firstLine="480"/>
        <w:jc w:val="left"/>
        <w:rPr>
          <w:rFonts w:ascii="宋体" w:hAnsi="宋体" w:cs="仿宋_GB2312" w:hint="eastAsia"/>
        </w:rPr>
      </w:pPr>
      <w:r w:rsidRPr="003D76F4">
        <w:rPr>
          <w:rFonts w:ascii="宋体" w:hAnsi="宋体" w:cs="仿宋_GB2312" w:hint="eastAsia"/>
        </w:rPr>
        <w:t>南通市中级人民法院指定一个系统进行风险评估，系统地分析信息系统所面临的威胁及其存在的脆弱性，评估安全事件一旦发生可能造成的危害程度，提出有针对性的抵御威胁的防护对策和措施。</w:t>
      </w:r>
    </w:p>
    <w:p w14:paraId="3FF0668D" w14:textId="77777777" w:rsidR="00053F4C" w:rsidRDefault="00053F4C" w:rsidP="00053F4C">
      <w:pPr>
        <w:pStyle w:val="2"/>
        <w:spacing w:after="0"/>
        <w:ind w:leftChars="0" w:left="0" w:firstLine="480"/>
        <w:rPr>
          <w:rFonts w:ascii="宋体" w:hAnsi="宋体" w:cs="宋体"/>
        </w:rPr>
      </w:pPr>
      <w:r>
        <w:rPr>
          <w:rFonts w:ascii="宋体" w:hAnsi="宋体" w:cs="宋体" w:hint="eastAsia"/>
        </w:rPr>
        <w:t>三、商务需求</w:t>
      </w:r>
    </w:p>
    <w:p w14:paraId="049AF30A" w14:textId="77777777" w:rsidR="00053F4C" w:rsidRDefault="00053F4C" w:rsidP="00053F4C">
      <w:pPr>
        <w:ind w:firstLine="480"/>
        <w:rPr>
          <w:rFonts w:hint="eastAsia"/>
        </w:rPr>
      </w:pPr>
      <w:r w:rsidRPr="001D0962">
        <w:rPr>
          <w:rFonts w:hint="eastAsia"/>
        </w:rPr>
        <w:t>1.</w:t>
      </w:r>
      <w:r w:rsidRPr="001D0962">
        <w:rPr>
          <w:rFonts w:hint="eastAsia"/>
        </w:rPr>
        <w:t>服务期限：自合同签订之日起一年</w:t>
      </w:r>
      <w:r>
        <w:rPr>
          <w:rFonts w:hint="eastAsia"/>
        </w:rPr>
        <w:t>。</w:t>
      </w:r>
    </w:p>
    <w:p w14:paraId="476A7982" w14:textId="77777777" w:rsidR="00053F4C" w:rsidRPr="003D76F4" w:rsidRDefault="00053F4C" w:rsidP="00053F4C">
      <w:pPr>
        <w:ind w:firstLine="480"/>
        <w:rPr>
          <w:rFonts w:hint="eastAsia"/>
        </w:rPr>
      </w:pPr>
      <w:r>
        <w:rPr>
          <w:rFonts w:hint="eastAsia"/>
        </w:rPr>
        <w:t>2.</w:t>
      </w:r>
      <w:r>
        <w:rPr>
          <w:rFonts w:hint="eastAsia"/>
        </w:rPr>
        <w:t>服务地点：采购人指定地点</w:t>
      </w:r>
    </w:p>
    <w:p w14:paraId="5AC456E1" w14:textId="77777777" w:rsidR="00053F4C" w:rsidRPr="00D756FD" w:rsidRDefault="00053F4C" w:rsidP="00053F4C">
      <w:pPr>
        <w:pStyle w:val="2"/>
        <w:spacing w:after="0"/>
        <w:ind w:leftChars="0" w:left="0" w:firstLine="480"/>
        <w:rPr>
          <w:rFonts w:ascii="宋体" w:hAnsi="宋体" w:cs="宋体"/>
        </w:rPr>
      </w:pPr>
      <w:r w:rsidRPr="001D0962">
        <w:rPr>
          <w:rFonts w:ascii="宋体" w:hAnsi="宋体" w:cs="宋体" w:hint="eastAsia"/>
        </w:rPr>
        <w:t>三、付款方式：</w:t>
      </w:r>
    </w:p>
    <w:p w14:paraId="3945C9BC" w14:textId="77777777" w:rsidR="00053F4C" w:rsidRDefault="00053F4C" w:rsidP="00053F4C">
      <w:pPr>
        <w:ind w:firstLine="480"/>
        <w:rPr>
          <w:rFonts w:hint="eastAsia"/>
        </w:rPr>
      </w:pPr>
      <w:r w:rsidRPr="00083185">
        <w:rPr>
          <w:rFonts w:hint="eastAsia"/>
        </w:rPr>
        <w:t>合同签订后</w:t>
      </w:r>
      <w:r>
        <w:rPr>
          <w:rFonts w:hint="eastAsia"/>
        </w:rPr>
        <w:t>支</w:t>
      </w:r>
      <w:r w:rsidRPr="00083185">
        <w:rPr>
          <w:rFonts w:hint="eastAsia"/>
        </w:rPr>
        <w:t>付</w:t>
      </w:r>
      <w:r>
        <w:rPr>
          <w:rFonts w:hint="eastAsia"/>
        </w:rPr>
        <w:t>合同价的</w:t>
      </w:r>
      <w:r w:rsidRPr="00083185">
        <w:rPr>
          <w:rFonts w:hint="eastAsia"/>
        </w:rPr>
        <w:t>30%</w:t>
      </w:r>
      <w:r>
        <w:rPr>
          <w:rFonts w:hint="eastAsia"/>
        </w:rPr>
        <w:t>，</w:t>
      </w:r>
      <w:r>
        <w:rPr>
          <w:rFonts w:hint="eastAsia"/>
        </w:rPr>
        <w:t xml:space="preserve"> </w:t>
      </w:r>
      <w:r>
        <w:rPr>
          <w:rFonts w:hint="eastAsia"/>
        </w:rPr>
        <w:t>待服务期满后支付剩余合同价款。</w:t>
      </w:r>
    </w:p>
    <w:p w14:paraId="4558FC86" w14:textId="77777777" w:rsidR="00053F4C" w:rsidRPr="00083185" w:rsidRDefault="00053F4C" w:rsidP="00053F4C">
      <w:pPr>
        <w:ind w:firstLine="480"/>
        <w:rPr>
          <w:rFonts w:hint="eastAsia"/>
        </w:rPr>
      </w:pPr>
    </w:p>
    <w:p w14:paraId="01DC889C" w14:textId="77777777" w:rsidR="00053F4C" w:rsidRDefault="00053F4C" w:rsidP="00053F4C">
      <w:pPr>
        <w:pStyle w:val="2"/>
        <w:ind w:left="480" w:firstLine="480"/>
        <w:rPr>
          <w:rFonts w:ascii="宋体" w:hAnsi="宋体" w:cs="宋体"/>
        </w:rPr>
      </w:pPr>
    </w:p>
    <w:p w14:paraId="6A71BA4A" w14:textId="77777777" w:rsidR="00053F4C" w:rsidRPr="00053F4C" w:rsidRDefault="00053F4C">
      <w:pPr>
        <w:ind w:firstLine="480"/>
      </w:pPr>
    </w:p>
    <w:sectPr w:rsidR="00053F4C" w:rsidRPr="00053F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DEF9600"/>
    <w:multiLevelType w:val="singleLevel"/>
    <w:tmpl w:val="FDEF9600"/>
    <w:lvl w:ilvl="0">
      <w:start w:val="1"/>
      <w:numFmt w:val="decimal"/>
      <w:lvlText w:val="%1."/>
      <w:lvlJc w:val="left"/>
      <w:pPr>
        <w:tabs>
          <w:tab w:val="left" w:pos="312"/>
        </w:tabs>
      </w:pPr>
    </w:lvl>
  </w:abstractNum>
  <w:abstractNum w:abstractNumId="1" w15:restartNumberingAfterBreak="0">
    <w:nsid w:val="1D837419"/>
    <w:multiLevelType w:val="multilevel"/>
    <w:tmpl w:val="1D837419"/>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62CB6112"/>
    <w:multiLevelType w:val="multilevel"/>
    <w:tmpl w:val="62CB6112"/>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16cid:durableId="1423840996">
    <w:abstractNumId w:val="1"/>
  </w:num>
  <w:num w:numId="2" w16cid:durableId="1726492723">
    <w:abstractNumId w:val="2"/>
  </w:num>
  <w:num w:numId="3" w16cid:durableId="1187207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F4C"/>
    <w:rsid w:val="00053F4C"/>
    <w:rsid w:val="007A45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19A5"/>
  <w15:chartTrackingRefBased/>
  <w15:docId w15:val="{6973955E-C37D-49BB-AE0A-14AF79047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053F4C"/>
    <w:pPr>
      <w:widowControl w:val="0"/>
      <w:spacing w:line="460" w:lineRule="exact"/>
      <w:ind w:firstLineChars="200" w:firstLine="200"/>
      <w:jc w:val="both"/>
    </w:pPr>
    <w:rPr>
      <w:rFonts w:ascii="Times New Roman" w:eastAsia="宋体" w:hAnsi="Times New Roman" w:cs="Times New Roman"/>
      <w:sz w:val="24"/>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053F4C"/>
    <w:pPr>
      <w:spacing w:after="120"/>
      <w:ind w:leftChars="200" w:left="420"/>
    </w:pPr>
  </w:style>
  <w:style w:type="character" w:customStyle="1" w:styleId="a4">
    <w:name w:val="正文文本缩进 字符"/>
    <w:basedOn w:val="a0"/>
    <w:link w:val="a3"/>
    <w:uiPriority w:val="99"/>
    <w:semiHidden/>
    <w:rsid w:val="00053F4C"/>
    <w:rPr>
      <w:rFonts w:ascii="Times New Roman" w:eastAsia="宋体" w:hAnsi="Times New Roman" w:cs="Times New Roman"/>
      <w:sz w:val="24"/>
      <w:szCs w:val="24"/>
      <w14:ligatures w14:val="none"/>
    </w:rPr>
  </w:style>
  <w:style w:type="paragraph" w:styleId="2">
    <w:name w:val="Body Text First Indent 2"/>
    <w:basedOn w:val="a3"/>
    <w:next w:val="a"/>
    <w:link w:val="20"/>
    <w:uiPriority w:val="99"/>
    <w:unhideWhenUsed/>
    <w:qFormat/>
    <w:rsid w:val="00053F4C"/>
    <w:pPr>
      <w:ind w:firstLine="420"/>
    </w:pPr>
  </w:style>
  <w:style w:type="character" w:customStyle="1" w:styleId="20">
    <w:name w:val="正文文本首行缩进 2 字符"/>
    <w:basedOn w:val="a4"/>
    <w:link w:val="2"/>
    <w:uiPriority w:val="99"/>
    <w:rsid w:val="00053F4C"/>
    <w:rPr>
      <w:rFonts w:ascii="Times New Roman" w:eastAsia="宋体" w:hAnsi="Times New Roman" w:cs="Times New Roman"/>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aidu.com/link?url=M6MMKtoBhhV-9n1aPAhea_HF3oETs9dJqX_xrRWZBfrK7SC62CR2SOGIAHkaorw_K5nUqh0Nazf0gfX-cNJqeqaJPaGAzC0KTYVFslSzcacsy_PcOjZWTsyF4g4QDbAe"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283</Words>
  <Characters>1618</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yuewen Sun</dc:creator>
  <cp:keywords/>
  <dc:description/>
  <cp:lastModifiedBy>yuewen Sun</cp:lastModifiedBy>
  <cp:revision>1</cp:revision>
  <dcterms:created xsi:type="dcterms:W3CDTF">2024-09-06T07:45:00Z</dcterms:created>
  <dcterms:modified xsi:type="dcterms:W3CDTF">2024-09-06T07:45:00Z</dcterms:modified>
</cp:coreProperties>
</file>