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606武强县人民法院</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1785.46</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1564.27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202.37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1785.46</w:t>
            </w:r>
          </w:p>
        </w:tc>
        <w:tc>
          <w:tcPr>
            <w:tcW w:w="4535" w:type="dxa"/>
            <w:vAlign w:val="center"/>
          </w:tcPr>
          <w:p>
            <w:pPr>
              <w:pStyle w:val="15"/>
            </w:pPr>
            <w:r>
              <w:t>本年支出合计</w:t>
            </w:r>
          </w:p>
        </w:tc>
        <w:tc>
          <w:tcPr>
            <w:tcW w:w="2126" w:type="dxa"/>
            <w:vAlign w:val="center"/>
          </w:tcPr>
          <w:p>
            <w:pPr>
              <w:pStyle w:val="16"/>
            </w:pPr>
            <w:r>
              <w:t>1865.85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80.39</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1865.85</w:t>
            </w:r>
          </w:p>
        </w:tc>
        <w:tc>
          <w:tcPr>
            <w:tcW w:w="4535" w:type="dxa"/>
            <w:vAlign w:val="center"/>
          </w:tcPr>
          <w:p>
            <w:pPr>
              <w:pStyle w:val="15"/>
            </w:pPr>
            <w:r>
              <w:t>支出总计</w:t>
            </w:r>
          </w:p>
        </w:tc>
        <w:tc>
          <w:tcPr>
            <w:tcW w:w="2126" w:type="dxa"/>
            <w:vAlign w:val="center"/>
          </w:tcPr>
          <w:p>
            <w:pPr>
              <w:pStyle w:val="16"/>
            </w:pPr>
            <w:r>
              <w:t>1865.85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606武强县人民法院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1865.85</w:t>
            </w:r>
          </w:p>
        </w:tc>
        <w:tc>
          <w:tcPr>
            <w:tcW w:w="1134" w:type="dxa"/>
            <w:vAlign w:val="center"/>
          </w:tcPr>
          <w:p>
            <w:pPr>
              <w:pStyle w:val="16"/>
            </w:pPr>
            <w:r>
              <w:t>1785.46</w:t>
            </w:r>
          </w:p>
        </w:tc>
        <w:tc>
          <w:tcPr>
            <w:tcW w:w="1134" w:type="dxa"/>
            <w:vAlign w:val="center"/>
          </w:tcPr>
          <w:p>
            <w:pPr>
              <w:pStyle w:val="16"/>
            </w:pPr>
            <w:r>
              <w:t>1785.46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1564.27</w:t>
            </w:r>
          </w:p>
        </w:tc>
        <w:tc>
          <w:tcPr>
            <w:tcW w:w="1134" w:type="dxa"/>
            <w:vAlign w:val="center"/>
          </w:tcPr>
          <w:p>
            <w:pPr>
              <w:pStyle w:val="12"/>
            </w:pPr>
            <w:r>
              <w:t>1483.88</w:t>
            </w:r>
          </w:p>
        </w:tc>
        <w:tc>
          <w:tcPr>
            <w:tcW w:w="1134" w:type="dxa"/>
            <w:vAlign w:val="center"/>
          </w:tcPr>
          <w:p>
            <w:pPr>
              <w:pStyle w:val="12"/>
            </w:pPr>
            <w:r>
              <w:t>1483.88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20405</w:t>
            </w:r>
          </w:p>
        </w:tc>
        <w:tc>
          <w:tcPr>
            <w:tcW w:w="1559" w:type="dxa"/>
            <w:vAlign w:val="center"/>
          </w:tcPr>
          <w:p>
            <w:pPr>
              <w:pStyle w:val="13"/>
            </w:pPr>
            <w:r>
              <w:t>法院</w:t>
            </w:r>
          </w:p>
        </w:tc>
        <w:tc>
          <w:tcPr>
            <w:tcW w:w="1134" w:type="dxa"/>
            <w:vAlign w:val="center"/>
          </w:tcPr>
          <w:p>
            <w:pPr>
              <w:pStyle w:val="12"/>
            </w:pPr>
            <w:r>
              <w:t>1564.27</w:t>
            </w:r>
          </w:p>
        </w:tc>
        <w:tc>
          <w:tcPr>
            <w:tcW w:w="1134" w:type="dxa"/>
            <w:vAlign w:val="center"/>
          </w:tcPr>
          <w:p>
            <w:pPr>
              <w:pStyle w:val="12"/>
            </w:pPr>
            <w:r>
              <w:t>1483.88</w:t>
            </w:r>
          </w:p>
        </w:tc>
        <w:tc>
          <w:tcPr>
            <w:tcW w:w="1134" w:type="dxa"/>
            <w:vAlign w:val="center"/>
          </w:tcPr>
          <w:p>
            <w:pPr>
              <w:pStyle w:val="12"/>
            </w:pPr>
            <w:r>
              <w:t>1483.88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80.39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2040501</w:t>
            </w:r>
          </w:p>
        </w:tc>
        <w:tc>
          <w:tcPr>
            <w:tcW w:w="1559" w:type="dxa"/>
            <w:vAlign w:val="center"/>
          </w:tcPr>
          <w:p>
            <w:pPr>
              <w:pStyle w:val="13"/>
            </w:pPr>
            <w:r>
              <w:t>行政运行</w:t>
            </w:r>
          </w:p>
        </w:tc>
        <w:tc>
          <w:tcPr>
            <w:tcW w:w="1134" w:type="dxa"/>
            <w:vAlign w:val="center"/>
          </w:tcPr>
          <w:p>
            <w:pPr>
              <w:pStyle w:val="12"/>
            </w:pPr>
            <w:r>
              <w:t>909.04</w:t>
            </w:r>
          </w:p>
        </w:tc>
        <w:tc>
          <w:tcPr>
            <w:tcW w:w="1134" w:type="dxa"/>
            <w:vAlign w:val="center"/>
          </w:tcPr>
          <w:p>
            <w:pPr>
              <w:pStyle w:val="12"/>
            </w:pPr>
            <w:r>
              <w:t>909.04</w:t>
            </w:r>
          </w:p>
        </w:tc>
        <w:tc>
          <w:tcPr>
            <w:tcW w:w="1134" w:type="dxa"/>
            <w:vAlign w:val="center"/>
          </w:tcPr>
          <w:p>
            <w:pPr>
              <w:pStyle w:val="12"/>
            </w:pPr>
            <w:r>
              <w:t>909.04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2040502</w:t>
            </w:r>
          </w:p>
        </w:tc>
        <w:tc>
          <w:tcPr>
            <w:tcW w:w="1559" w:type="dxa"/>
            <w:vAlign w:val="center"/>
          </w:tcPr>
          <w:p>
            <w:pPr>
              <w:pStyle w:val="13"/>
            </w:pPr>
            <w:r>
              <w:t>一般行政管理事务</w:t>
            </w:r>
          </w:p>
        </w:tc>
        <w:tc>
          <w:tcPr>
            <w:tcW w:w="1134" w:type="dxa"/>
            <w:vAlign w:val="center"/>
          </w:tcPr>
          <w:p>
            <w:pPr>
              <w:pStyle w:val="12"/>
            </w:pPr>
            <w:r>
              <w:t>353.58</w:t>
            </w:r>
          </w:p>
        </w:tc>
        <w:tc>
          <w:tcPr>
            <w:tcW w:w="1134" w:type="dxa"/>
            <w:vAlign w:val="center"/>
          </w:tcPr>
          <w:p>
            <w:pPr>
              <w:pStyle w:val="12"/>
            </w:pPr>
            <w:r>
              <w:t>353.58</w:t>
            </w:r>
          </w:p>
        </w:tc>
        <w:tc>
          <w:tcPr>
            <w:tcW w:w="1134" w:type="dxa"/>
            <w:vAlign w:val="center"/>
          </w:tcPr>
          <w:p>
            <w:pPr>
              <w:pStyle w:val="12"/>
            </w:pPr>
            <w:r>
              <w:t>353.58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2040504</w:t>
            </w:r>
          </w:p>
        </w:tc>
        <w:tc>
          <w:tcPr>
            <w:tcW w:w="1559" w:type="dxa"/>
            <w:vAlign w:val="center"/>
          </w:tcPr>
          <w:p>
            <w:pPr>
              <w:pStyle w:val="13"/>
            </w:pPr>
            <w:r>
              <w:t>案件审判</w:t>
            </w:r>
          </w:p>
        </w:tc>
        <w:tc>
          <w:tcPr>
            <w:tcW w:w="1134" w:type="dxa"/>
            <w:vAlign w:val="center"/>
          </w:tcPr>
          <w:p>
            <w:pPr>
              <w:pStyle w:val="12"/>
            </w:pPr>
            <w:r>
              <w:t>194.28</w:t>
            </w:r>
          </w:p>
        </w:tc>
        <w:tc>
          <w:tcPr>
            <w:tcW w:w="1134" w:type="dxa"/>
            <w:vAlign w:val="center"/>
          </w:tcPr>
          <w:p>
            <w:pPr>
              <w:pStyle w:val="12"/>
            </w:pPr>
            <w:r>
              <w:t>132.00</w:t>
            </w:r>
          </w:p>
        </w:tc>
        <w:tc>
          <w:tcPr>
            <w:tcW w:w="1134" w:type="dxa"/>
            <w:vAlign w:val="center"/>
          </w:tcPr>
          <w:p>
            <w:pPr>
              <w:pStyle w:val="12"/>
            </w:pPr>
            <w:r>
              <w:t>132.00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62.28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2040505</w:t>
            </w:r>
          </w:p>
        </w:tc>
        <w:tc>
          <w:tcPr>
            <w:tcW w:w="1559" w:type="dxa"/>
            <w:vAlign w:val="center"/>
          </w:tcPr>
          <w:p>
            <w:pPr>
              <w:pStyle w:val="13"/>
            </w:pPr>
            <w:r>
              <w:t>案件执行</w:t>
            </w:r>
          </w:p>
        </w:tc>
        <w:tc>
          <w:tcPr>
            <w:tcW w:w="1134" w:type="dxa"/>
            <w:vAlign w:val="center"/>
          </w:tcPr>
          <w:p>
            <w:pPr>
              <w:pStyle w:val="12"/>
            </w:pPr>
            <w:r>
              <w:t>83.12</w:t>
            </w:r>
          </w:p>
        </w:tc>
        <w:tc>
          <w:tcPr>
            <w:tcW w:w="1134" w:type="dxa"/>
            <w:vAlign w:val="center"/>
          </w:tcPr>
          <w:p>
            <w:pPr>
              <w:pStyle w:val="12"/>
            </w:pPr>
            <w:r>
              <w:t>65.00</w:t>
            </w:r>
          </w:p>
        </w:tc>
        <w:tc>
          <w:tcPr>
            <w:tcW w:w="1134" w:type="dxa"/>
            <w:vAlign w:val="center"/>
          </w:tcPr>
          <w:p>
            <w:pPr>
              <w:pStyle w:val="12"/>
            </w:pPr>
            <w:r>
              <w:t>65.00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2040550</w:t>
            </w:r>
          </w:p>
        </w:tc>
        <w:tc>
          <w:tcPr>
            <w:tcW w:w="1559" w:type="dxa"/>
            <w:vAlign w:val="center"/>
          </w:tcPr>
          <w:p>
            <w:pPr>
              <w:pStyle w:val="13"/>
            </w:pPr>
            <w:r>
              <w:t>事业运行</w:t>
            </w:r>
          </w:p>
        </w:tc>
        <w:tc>
          <w:tcPr>
            <w:tcW w:w="1134" w:type="dxa"/>
            <w:vAlign w:val="center"/>
          </w:tcPr>
          <w:p>
            <w:pPr>
              <w:pStyle w:val="12"/>
            </w:pPr>
            <w:r>
              <w:t>24.26</w:t>
            </w:r>
          </w:p>
        </w:tc>
        <w:tc>
          <w:tcPr>
            <w:tcW w:w="1134" w:type="dxa"/>
            <w:vAlign w:val="center"/>
          </w:tcPr>
          <w:p>
            <w:pPr>
              <w:pStyle w:val="12"/>
            </w:pPr>
            <w:r>
              <w:t>24.26</w:t>
            </w:r>
          </w:p>
        </w:tc>
        <w:tc>
          <w:tcPr>
            <w:tcW w:w="1134" w:type="dxa"/>
            <w:vAlign w:val="center"/>
          </w:tcPr>
          <w:p>
            <w:pPr>
              <w:pStyle w:val="12"/>
            </w:pPr>
            <w:r>
              <w:t>24.26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202.37</w:t>
            </w:r>
          </w:p>
        </w:tc>
        <w:tc>
          <w:tcPr>
            <w:tcW w:w="1134" w:type="dxa"/>
            <w:vAlign w:val="center"/>
          </w:tcPr>
          <w:p>
            <w:pPr>
              <w:pStyle w:val="12"/>
            </w:pPr>
            <w:r>
              <w:t>202.37</w:t>
            </w:r>
          </w:p>
        </w:tc>
        <w:tc>
          <w:tcPr>
            <w:tcW w:w="1134" w:type="dxa"/>
            <w:vAlign w:val="center"/>
          </w:tcPr>
          <w:p>
            <w:pPr>
              <w:pStyle w:val="12"/>
            </w:pPr>
            <w:r>
              <w:t>202.37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202.37</w:t>
            </w:r>
          </w:p>
        </w:tc>
        <w:tc>
          <w:tcPr>
            <w:tcW w:w="1134" w:type="dxa"/>
            <w:vAlign w:val="center"/>
          </w:tcPr>
          <w:p>
            <w:pPr>
              <w:pStyle w:val="12"/>
            </w:pPr>
            <w:r>
              <w:t>202.37</w:t>
            </w:r>
          </w:p>
        </w:tc>
        <w:tc>
          <w:tcPr>
            <w:tcW w:w="1134" w:type="dxa"/>
            <w:vAlign w:val="center"/>
          </w:tcPr>
          <w:p>
            <w:pPr>
              <w:pStyle w:val="12"/>
            </w:pPr>
            <w:r>
              <w:t>202.37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93.88</w:t>
            </w:r>
          </w:p>
        </w:tc>
        <w:tc>
          <w:tcPr>
            <w:tcW w:w="1134" w:type="dxa"/>
            <w:vAlign w:val="center"/>
          </w:tcPr>
          <w:p>
            <w:pPr>
              <w:pStyle w:val="12"/>
            </w:pPr>
            <w:r>
              <w:t>93.88</w:t>
            </w:r>
          </w:p>
        </w:tc>
        <w:tc>
          <w:tcPr>
            <w:tcW w:w="1134" w:type="dxa"/>
            <w:vAlign w:val="center"/>
          </w:tcPr>
          <w:p>
            <w:pPr>
              <w:pStyle w:val="12"/>
            </w:pPr>
            <w:r>
              <w:t>93.88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108.49</w:t>
            </w:r>
          </w:p>
        </w:tc>
        <w:tc>
          <w:tcPr>
            <w:tcW w:w="1134" w:type="dxa"/>
            <w:vAlign w:val="center"/>
          </w:tcPr>
          <w:p>
            <w:pPr>
              <w:pStyle w:val="12"/>
            </w:pPr>
            <w:r>
              <w:t>108.49</w:t>
            </w:r>
          </w:p>
        </w:tc>
        <w:tc>
          <w:tcPr>
            <w:tcW w:w="1134" w:type="dxa"/>
            <w:vAlign w:val="center"/>
          </w:tcPr>
          <w:p>
            <w:pPr>
              <w:pStyle w:val="12"/>
            </w:pPr>
            <w:r>
              <w:t>108.49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30.72</w:t>
            </w:r>
          </w:p>
        </w:tc>
        <w:tc>
          <w:tcPr>
            <w:tcW w:w="1134" w:type="dxa"/>
            <w:vAlign w:val="center"/>
          </w:tcPr>
          <w:p>
            <w:pPr>
              <w:pStyle w:val="12"/>
            </w:pPr>
            <w:r>
              <w:t>30.72</w:t>
            </w:r>
          </w:p>
        </w:tc>
        <w:tc>
          <w:tcPr>
            <w:tcW w:w="1134" w:type="dxa"/>
            <w:vAlign w:val="center"/>
          </w:tcPr>
          <w:p>
            <w:pPr>
              <w:pStyle w:val="12"/>
            </w:pPr>
            <w:r>
              <w:t>30.72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30.72</w:t>
            </w:r>
          </w:p>
        </w:tc>
        <w:tc>
          <w:tcPr>
            <w:tcW w:w="1134" w:type="dxa"/>
            <w:vAlign w:val="center"/>
          </w:tcPr>
          <w:p>
            <w:pPr>
              <w:pStyle w:val="12"/>
            </w:pPr>
            <w:r>
              <w:t>30.72</w:t>
            </w:r>
          </w:p>
        </w:tc>
        <w:tc>
          <w:tcPr>
            <w:tcW w:w="1134" w:type="dxa"/>
            <w:vAlign w:val="center"/>
          </w:tcPr>
          <w:p>
            <w:pPr>
              <w:pStyle w:val="12"/>
            </w:pPr>
            <w:r>
              <w:t>30.72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30.72</w:t>
            </w:r>
          </w:p>
        </w:tc>
        <w:tc>
          <w:tcPr>
            <w:tcW w:w="1134" w:type="dxa"/>
            <w:vAlign w:val="center"/>
          </w:tcPr>
          <w:p>
            <w:pPr>
              <w:pStyle w:val="12"/>
            </w:pPr>
            <w:r>
              <w:t>30.72</w:t>
            </w:r>
          </w:p>
        </w:tc>
        <w:tc>
          <w:tcPr>
            <w:tcW w:w="1134" w:type="dxa"/>
            <w:vAlign w:val="center"/>
          </w:tcPr>
          <w:p>
            <w:pPr>
              <w:pStyle w:val="12"/>
            </w:pPr>
            <w:r>
              <w:t>30.72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68.49</w:t>
            </w:r>
          </w:p>
        </w:tc>
        <w:tc>
          <w:tcPr>
            <w:tcW w:w="1134" w:type="dxa"/>
            <w:vAlign w:val="center"/>
          </w:tcPr>
          <w:p>
            <w:pPr>
              <w:pStyle w:val="12"/>
            </w:pPr>
            <w:r>
              <w:t>68.49</w:t>
            </w:r>
          </w:p>
        </w:tc>
        <w:tc>
          <w:tcPr>
            <w:tcW w:w="1134" w:type="dxa"/>
            <w:vAlign w:val="center"/>
          </w:tcPr>
          <w:p>
            <w:pPr>
              <w:pStyle w:val="12"/>
            </w:pPr>
            <w:r>
              <w:t>68.49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68.49</w:t>
            </w:r>
          </w:p>
        </w:tc>
        <w:tc>
          <w:tcPr>
            <w:tcW w:w="1134" w:type="dxa"/>
            <w:vAlign w:val="center"/>
          </w:tcPr>
          <w:p>
            <w:pPr>
              <w:pStyle w:val="12"/>
            </w:pPr>
            <w:r>
              <w:t>68.49</w:t>
            </w:r>
          </w:p>
        </w:tc>
        <w:tc>
          <w:tcPr>
            <w:tcW w:w="1134" w:type="dxa"/>
            <w:vAlign w:val="center"/>
          </w:tcPr>
          <w:p>
            <w:pPr>
              <w:pStyle w:val="12"/>
            </w:pPr>
            <w:r>
              <w:t>68.49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68.49</w:t>
            </w:r>
          </w:p>
        </w:tc>
        <w:tc>
          <w:tcPr>
            <w:tcW w:w="1134" w:type="dxa"/>
            <w:vAlign w:val="center"/>
          </w:tcPr>
          <w:p>
            <w:pPr>
              <w:pStyle w:val="12"/>
            </w:pPr>
            <w:r>
              <w:t>68.49</w:t>
            </w:r>
          </w:p>
        </w:tc>
        <w:tc>
          <w:tcPr>
            <w:tcW w:w="1134" w:type="dxa"/>
            <w:vAlign w:val="center"/>
          </w:tcPr>
          <w:p>
            <w:pPr>
              <w:pStyle w:val="12"/>
            </w:pPr>
            <w:r>
              <w:t>68.49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606武强县人民法院</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1865.85</w:t>
            </w:r>
          </w:p>
        </w:tc>
        <w:tc>
          <w:tcPr>
            <w:tcW w:w="1361" w:type="dxa"/>
            <w:vAlign w:val="center"/>
          </w:tcPr>
          <w:p>
            <w:pPr>
              <w:pStyle w:val="16"/>
            </w:pPr>
            <w:r>
              <w:t>1234.88</w:t>
            </w:r>
          </w:p>
        </w:tc>
        <w:tc>
          <w:tcPr>
            <w:tcW w:w="1361" w:type="dxa"/>
            <w:vAlign w:val="center"/>
          </w:tcPr>
          <w:p>
            <w:pPr>
              <w:pStyle w:val="16"/>
            </w:pPr>
            <w:r>
              <w:t>630.97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1564.27</w:t>
            </w:r>
          </w:p>
        </w:tc>
        <w:tc>
          <w:tcPr>
            <w:tcW w:w="1361" w:type="dxa"/>
            <w:vAlign w:val="center"/>
          </w:tcPr>
          <w:p>
            <w:pPr>
              <w:pStyle w:val="12"/>
            </w:pPr>
            <w:r>
              <w:t>933.30</w:t>
            </w:r>
          </w:p>
        </w:tc>
        <w:tc>
          <w:tcPr>
            <w:tcW w:w="1361" w:type="dxa"/>
            <w:vAlign w:val="center"/>
          </w:tcPr>
          <w:p>
            <w:pPr>
              <w:pStyle w:val="12"/>
            </w:pPr>
            <w:r>
              <w:t>630.97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20405</w:t>
            </w:r>
          </w:p>
        </w:tc>
        <w:tc>
          <w:tcPr>
            <w:tcW w:w="4535" w:type="dxa"/>
            <w:vAlign w:val="center"/>
          </w:tcPr>
          <w:p>
            <w:pPr>
              <w:pStyle w:val="13"/>
            </w:pPr>
            <w:r>
              <w:t>法院</w:t>
            </w:r>
          </w:p>
        </w:tc>
        <w:tc>
          <w:tcPr>
            <w:tcW w:w="1361" w:type="dxa"/>
            <w:vAlign w:val="center"/>
          </w:tcPr>
          <w:p>
            <w:pPr>
              <w:pStyle w:val="12"/>
            </w:pPr>
            <w:r>
              <w:t>1564.27</w:t>
            </w:r>
          </w:p>
        </w:tc>
        <w:tc>
          <w:tcPr>
            <w:tcW w:w="1361" w:type="dxa"/>
            <w:vAlign w:val="center"/>
          </w:tcPr>
          <w:p>
            <w:pPr>
              <w:pStyle w:val="12"/>
            </w:pPr>
            <w:r>
              <w:t>933.30</w:t>
            </w:r>
          </w:p>
        </w:tc>
        <w:tc>
          <w:tcPr>
            <w:tcW w:w="1361" w:type="dxa"/>
            <w:vAlign w:val="center"/>
          </w:tcPr>
          <w:p>
            <w:pPr>
              <w:pStyle w:val="12"/>
            </w:pPr>
            <w:r>
              <w:t>630.97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2040501</w:t>
            </w:r>
          </w:p>
        </w:tc>
        <w:tc>
          <w:tcPr>
            <w:tcW w:w="4535" w:type="dxa"/>
            <w:vAlign w:val="center"/>
          </w:tcPr>
          <w:p>
            <w:pPr>
              <w:pStyle w:val="13"/>
            </w:pPr>
            <w:r>
              <w:t>行政运行</w:t>
            </w:r>
          </w:p>
        </w:tc>
        <w:tc>
          <w:tcPr>
            <w:tcW w:w="1361" w:type="dxa"/>
            <w:vAlign w:val="center"/>
          </w:tcPr>
          <w:p>
            <w:pPr>
              <w:pStyle w:val="12"/>
            </w:pPr>
            <w:r>
              <w:t>909.04</w:t>
            </w:r>
          </w:p>
        </w:tc>
        <w:tc>
          <w:tcPr>
            <w:tcW w:w="1361" w:type="dxa"/>
            <w:vAlign w:val="center"/>
          </w:tcPr>
          <w:p>
            <w:pPr>
              <w:pStyle w:val="12"/>
            </w:pPr>
            <w:r>
              <w:t>909.04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2040502</w:t>
            </w:r>
          </w:p>
        </w:tc>
        <w:tc>
          <w:tcPr>
            <w:tcW w:w="4535" w:type="dxa"/>
            <w:vAlign w:val="center"/>
          </w:tcPr>
          <w:p>
            <w:pPr>
              <w:pStyle w:val="13"/>
            </w:pPr>
            <w:r>
              <w:t>一般行政管理事务</w:t>
            </w:r>
          </w:p>
        </w:tc>
        <w:tc>
          <w:tcPr>
            <w:tcW w:w="1361" w:type="dxa"/>
            <w:vAlign w:val="center"/>
          </w:tcPr>
          <w:p>
            <w:pPr>
              <w:pStyle w:val="12"/>
            </w:pPr>
            <w:r>
              <w:t>353.58</w:t>
            </w:r>
          </w:p>
        </w:tc>
        <w:tc>
          <w:tcPr>
            <w:tcW w:w="1361" w:type="dxa"/>
            <w:vAlign w:val="center"/>
          </w:tcPr>
          <w:p>
            <w:pPr>
              <w:pStyle w:val="12"/>
            </w:pPr>
          </w:p>
        </w:tc>
        <w:tc>
          <w:tcPr>
            <w:tcW w:w="1361" w:type="dxa"/>
            <w:vAlign w:val="center"/>
          </w:tcPr>
          <w:p>
            <w:pPr>
              <w:pStyle w:val="12"/>
            </w:pPr>
            <w:r>
              <w:t>353.58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2040504</w:t>
            </w:r>
          </w:p>
        </w:tc>
        <w:tc>
          <w:tcPr>
            <w:tcW w:w="4535" w:type="dxa"/>
            <w:vAlign w:val="center"/>
          </w:tcPr>
          <w:p>
            <w:pPr>
              <w:pStyle w:val="13"/>
            </w:pPr>
            <w:r>
              <w:t>案件审判</w:t>
            </w:r>
          </w:p>
        </w:tc>
        <w:tc>
          <w:tcPr>
            <w:tcW w:w="1361" w:type="dxa"/>
            <w:vAlign w:val="center"/>
          </w:tcPr>
          <w:p>
            <w:pPr>
              <w:pStyle w:val="12"/>
            </w:pPr>
            <w:r>
              <w:t>194.28</w:t>
            </w:r>
          </w:p>
        </w:tc>
        <w:tc>
          <w:tcPr>
            <w:tcW w:w="1361" w:type="dxa"/>
            <w:vAlign w:val="center"/>
          </w:tcPr>
          <w:p>
            <w:pPr>
              <w:pStyle w:val="12"/>
            </w:pPr>
          </w:p>
        </w:tc>
        <w:tc>
          <w:tcPr>
            <w:tcW w:w="1361" w:type="dxa"/>
            <w:vAlign w:val="center"/>
          </w:tcPr>
          <w:p>
            <w:pPr>
              <w:pStyle w:val="12"/>
            </w:pPr>
            <w:r>
              <w:t>194.28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2040505</w:t>
            </w:r>
          </w:p>
        </w:tc>
        <w:tc>
          <w:tcPr>
            <w:tcW w:w="4535" w:type="dxa"/>
            <w:vAlign w:val="center"/>
          </w:tcPr>
          <w:p>
            <w:pPr>
              <w:pStyle w:val="13"/>
            </w:pPr>
            <w:r>
              <w:t>案件执行</w:t>
            </w:r>
          </w:p>
        </w:tc>
        <w:tc>
          <w:tcPr>
            <w:tcW w:w="1361" w:type="dxa"/>
            <w:vAlign w:val="center"/>
          </w:tcPr>
          <w:p>
            <w:pPr>
              <w:pStyle w:val="12"/>
            </w:pPr>
            <w:r>
              <w:t>83.12</w:t>
            </w:r>
          </w:p>
        </w:tc>
        <w:tc>
          <w:tcPr>
            <w:tcW w:w="1361" w:type="dxa"/>
            <w:vAlign w:val="center"/>
          </w:tcPr>
          <w:p>
            <w:pPr>
              <w:pStyle w:val="12"/>
            </w:pPr>
          </w:p>
        </w:tc>
        <w:tc>
          <w:tcPr>
            <w:tcW w:w="1361" w:type="dxa"/>
            <w:vAlign w:val="center"/>
          </w:tcPr>
          <w:p>
            <w:pPr>
              <w:pStyle w:val="12"/>
            </w:pPr>
            <w:r>
              <w:t>83.12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2040550</w:t>
            </w:r>
          </w:p>
        </w:tc>
        <w:tc>
          <w:tcPr>
            <w:tcW w:w="4535" w:type="dxa"/>
            <w:vAlign w:val="center"/>
          </w:tcPr>
          <w:p>
            <w:pPr>
              <w:pStyle w:val="13"/>
            </w:pPr>
            <w:r>
              <w:t>事业运行</w:t>
            </w:r>
          </w:p>
        </w:tc>
        <w:tc>
          <w:tcPr>
            <w:tcW w:w="1361" w:type="dxa"/>
            <w:vAlign w:val="center"/>
          </w:tcPr>
          <w:p>
            <w:pPr>
              <w:pStyle w:val="12"/>
            </w:pPr>
            <w:r>
              <w:t>24.26</w:t>
            </w:r>
          </w:p>
        </w:tc>
        <w:tc>
          <w:tcPr>
            <w:tcW w:w="1361" w:type="dxa"/>
            <w:vAlign w:val="center"/>
          </w:tcPr>
          <w:p>
            <w:pPr>
              <w:pStyle w:val="12"/>
            </w:pPr>
            <w:r>
              <w:t>24.26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202.37</w:t>
            </w:r>
          </w:p>
        </w:tc>
        <w:tc>
          <w:tcPr>
            <w:tcW w:w="1361" w:type="dxa"/>
            <w:vAlign w:val="center"/>
          </w:tcPr>
          <w:p>
            <w:pPr>
              <w:pStyle w:val="12"/>
            </w:pPr>
            <w:r>
              <w:t>202.37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202.37</w:t>
            </w:r>
          </w:p>
        </w:tc>
        <w:tc>
          <w:tcPr>
            <w:tcW w:w="1361" w:type="dxa"/>
            <w:vAlign w:val="center"/>
          </w:tcPr>
          <w:p>
            <w:pPr>
              <w:pStyle w:val="12"/>
            </w:pPr>
            <w:r>
              <w:t>202.37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93.88</w:t>
            </w:r>
          </w:p>
        </w:tc>
        <w:tc>
          <w:tcPr>
            <w:tcW w:w="1361" w:type="dxa"/>
            <w:vAlign w:val="center"/>
          </w:tcPr>
          <w:p>
            <w:pPr>
              <w:pStyle w:val="12"/>
            </w:pPr>
            <w:r>
              <w:t>93.88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108.49</w:t>
            </w:r>
          </w:p>
        </w:tc>
        <w:tc>
          <w:tcPr>
            <w:tcW w:w="1361" w:type="dxa"/>
            <w:vAlign w:val="center"/>
          </w:tcPr>
          <w:p>
            <w:pPr>
              <w:pStyle w:val="12"/>
            </w:pPr>
            <w:r>
              <w:t>108.49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30.72</w:t>
            </w:r>
          </w:p>
        </w:tc>
        <w:tc>
          <w:tcPr>
            <w:tcW w:w="1361" w:type="dxa"/>
            <w:vAlign w:val="center"/>
          </w:tcPr>
          <w:p>
            <w:pPr>
              <w:pStyle w:val="12"/>
            </w:pPr>
            <w:r>
              <w:t>30.72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30.72</w:t>
            </w:r>
          </w:p>
        </w:tc>
        <w:tc>
          <w:tcPr>
            <w:tcW w:w="1361" w:type="dxa"/>
            <w:vAlign w:val="center"/>
          </w:tcPr>
          <w:p>
            <w:pPr>
              <w:pStyle w:val="12"/>
            </w:pPr>
            <w:r>
              <w:t>30.72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30.72</w:t>
            </w:r>
          </w:p>
        </w:tc>
        <w:tc>
          <w:tcPr>
            <w:tcW w:w="1361" w:type="dxa"/>
            <w:vAlign w:val="center"/>
          </w:tcPr>
          <w:p>
            <w:pPr>
              <w:pStyle w:val="12"/>
            </w:pPr>
            <w:r>
              <w:t>30.72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68.49</w:t>
            </w:r>
          </w:p>
        </w:tc>
        <w:tc>
          <w:tcPr>
            <w:tcW w:w="1361" w:type="dxa"/>
            <w:vAlign w:val="center"/>
          </w:tcPr>
          <w:p>
            <w:pPr>
              <w:pStyle w:val="12"/>
            </w:pPr>
            <w:r>
              <w:t>68.49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68.49</w:t>
            </w:r>
          </w:p>
        </w:tc>
        <w:tc>
          <w:tcPr>
            <w:tcW w:w="1361" w:type="dxa"/>
            <w:vAlign w:val="center"/>
          </w:tcPr>
          <w:p>
            <w:pPr>
              <w:pStyle w:val="12"/>
            </w:pPr>
            <w:r>
              <w:t>68.49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68.49</w:t>
            </w:r>
          </w:p>
        </w:tc>
        <w:tc>
          <w:tcPr>
            <w:tcW w:w="1361" w:type="dxa"/>
            <w:vAlign w:val="center"/>
          </w:tcPr>
          <w:p>
            <w:pPr>
              <w:pStyle w:val="12"/>
            </w:pPr>
            <w:r>
              <w:t>68.49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606武强县人民法院</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1785.46</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1564.27</w:t>
            </w:r>
          </w:p>
        </w:tc>
        <w:tc>
          <w:tcPr>
            <w:tcW w:w="1474" w:type="dxa"/>
            <w:vAlign w:val="center"/>
          </w:tcPr>
          <w:p>
            <w:pPr>
              <w:pStyle w:val="12"/>
            </w:pPr>
            <w:r>
              <w:t>1564.27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202.37</w:t>
            </w:r>
          </w:p>
        </w:tc>
        <w:tc>
          <w:tcPr>
            <w:tcW w:w="1474" w:type="dxa"/>
            <w:vAlign w:val="center"/>
          </w:tcPr>
          <w:p>
            <w:pPr>
              <w:pStyle w:val="12"/>
            </w:pPr>
            <w:r>
              <w:t>202.37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30.72</w:t>
            </w:r>
          </w:p>
        </w:tc>
        <w:tc>
          <w:tcPr>
            <w:tcW w:w="1474" w:type="dxa"/>
            <w:vAlign w:val="center"/>
          </w:tcPr>
          <w:p>
            <w:pPr>
              <w:pStyle w:val="12"/>
            </w:pPr>
            <w:r>
              <w:t>30.72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68.49</w:t>
            </w:r>
          </w:p>
        </w:tc>
        <w:tc>
          <w:tcPr>
            <w:tcW w:w="1474" w:type="dxa"/>
            <w:vAlign w:val="center"/>
          </w:tcPr>
          <w:p>
            <w:pPr>
              <w:pStyle w:val="12"/>
            </w:pPr>
            <w:r>
              <w:t>68.49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1785.46</w:t>
            </w:r>
          </w:p>
        </w:tc>
        <w:tc>
          <w:tcPr>
            <w:tcW w:w="3402" w:type="dxa"/>
            <w:vAlign w:val="center"/>
          </w:tcPr>
          <w:p>
            <w:pPr>
              <w:pStyle w:val="15"/>
            </w:pPr>
            <w:r>
              <w:t>本年支出合计</w:t>
            </w:r>
          </w:p>
        </w:tc>
        <w:tc>
          <w:tcPr>
            <w:tcW w:w="1474" w:type="dxa"/>
            <w:vAlign w:val="center"/>
          </w:tcPr>
          <w:p>
            <w:pPr>
              <w:pStyle w:val="16"/>
            </w:pPr>
            <w:r>
              <w:t>1865.85</w:t>
            </w:r>
          </w:p>
        </w:tc>
        <w:tc>
          <w:tcPr>
            <w:tcW w:w="1474" w:type="dxa"/>
            <w:vAlign w:val="center"/>
          </w:tcPr>
          <w:p>
            <w:pPr>
              <w:pStyle w:val="16"/>
            </w:pPr>
            <w:r>
              <w:t>1865.85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80.39</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80.39</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1865.85</w:t>
            </w:r>
          </w:p>
        </w:tc>
        <w:tc>
          <w:tcPr>
            <w:tcW w:w="3402" w:type="dxa"/>
            <w:vAlign w:val="center"/>
          </w:tcPr>
          <w:p>
            <w:pPr>
              <w:pStyle w:val="15"/>
            </w:pPr>
            <w:r>
              <w:t>支出总计</w:t>
            </w:r>
          </w:p>
        </w:tc>
        <w:tc>
          <w:tcPr>
            <w:tcW w:w="1474" w:type="dxa"/>
            <w:vAlign w:val="center"/>
          </w:tcPr>
          <w:p>
            <w:pPr>
              <w:pStyle w:val="16"/>
            </w:pPr>
            <w:r>
              <w:t>1865.85</w:t>
            </w:r>
          </w:p>
        </w:tc>
        <w:tc>
          <w:tcPr>
            <w:tcW w:w="1474" w:type="dxa"/>
            <w:vAlign w:val="center"/>
          </w:tcPr>
          <w:p>
            <w:pPr>
              <w:pStyle w:val="16"/>
            </w:pPr>
            <w:r>
              <w:t>1865.85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606武强县人民法院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1865.85</w:t>
            </w:r>
          </w:p>
        </w:tc>
        <w:tc>
          <w:tcPr>
            <w:tcW w:w="2551" w:type="dxa"/>
            <w:vAlign w:val="center"/>
          </w:tcPr>
          <w:p>
            <w:pPr>
              <w:pStyle w:val="16"/>
            </w:pPr>
            <w:r>
              <w:t>1234.88</w:t>
            </w:r>
          </w:p>
        </w:tc>
        <w:tc>
          <w:tcPr>
            <w:tcW w:w="2551" w:type="dxa"/>
            <w:vAlign w:val="center"/>
          </w:tcPr>
          <w:p>
            <w:pPr>
              <w:pStyle w:val="16"/>
            </w:pPr>
            <w:r>
              <w:t>630.97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1564.27</w:t>
            </w:r>
          </w:p>
        </w:tc>
        <w:tc>
          <w:tcPr>
            <w:tcW w:w="2551" w:type="dxa"/>
            <w:vAlign w:val="center"/>
          </w:tcPr>
          <w:p>
            <w:pPr>
              <w:pStyle w:val="12"/>
            </w:pPr>
            <w:r>
              <w:t>933.30</w:t>
            </w:r>
          </w:p>
        </w:tc>
        <w:tc>
          <w:tcPr>
            <w:tcW w:w="2551" w:type="dxa"/>
            <w:vAlign w:val="center"/>
          </w:tcPr>
          <w:p>
            <w:pPr>
              <w:pStyle w:val="12"/>
            </w:pPr>
            <w:r>
              <w:t>630.97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20405</w:t>
            </w:r>
          </w:p>
        </w:tc>
        <w:tc>
          <w:tcPr>
            <w:tcW w:w="4535" w:type="dxa"/>
            <w:vAlign w:val="center"/>
          </w:tcPr>
          <w:p>
            <w:pPr>
              <w:pStyle w:val="13"/>
            </w:pPr>
            <w:r>
              <w:t>法院</w:t>
            </w:r>
          </w:p>
        </w:tc>
        <w:tc>
          <w:tcPr>
            <w:tcW w:w="2551" w:type="dxa"/>
            <w:vAlign w:val="center"/>
          </w:tcPr>
          <w:p>
            <w:pPr>
              <w:pStyle w:val="12"/>
            </w:pPr>
            <w:r>
              <w:t>1564.27</w:t>
            </w:r>
          </w:p>
        </w:tc>
        <w:tc>
          <w:tcPr>
            <w:tcW w:w="2551" w:type="dxa"/>
            <w:vAlign w:val="center"/>
          </w:tcPr>
          <w:p>
            <w:pPr>
              <w:pStyle w:val="12"/>
            </w:pPr>
            <w:r>
              <w:t>933.30</w:t>
            </w:r>
          </w:p>
        </w:tc>
        <w:tc>
          <w:tcPr>
            <w:tcW w:w="2551" w:type="dxa"/>
            <w:vAlign w:val="center"/>
          </w:tcPr>
          <w:p>
            <w:pPr>
              <w:pStyle w:val="12"/>
            </w:pPr>
            <w:r>
              <w:t>630.97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2040501</w:t>
            </w:r>
          </w:p>
        </w:tc>
        <w:tc>
          <w:tcPr>
            <w:tcW w:w="4535" w:type="dxa"/>
            <w:vAlign w:val="center"/>
          </w:tcPr>
          <w:p>
            <w:pPr>
              <w:pStyle w:val="13"/>
            </w:pPr>
            <w:r>
              <w:t>行政运行</w:t>
            </w:r>
          </w:p>
        </w:tc>
        <w:tc>
          <w:tcPr>
            <w:tcW w:w="2551" w:type="dxa"/>
            <w:vAlign w:val="center"/>
          </w:tcPr>
          <w:p>
            <w:pPr>
              <w:pStyle w:val="12"/>
            </w:pPr>
            <w:r>
              <w:t>909.04</w:t>
            </w:r>
          </w:p>
        </w:tc>
        <w:tc>
          <w:tcPr>
            <w:tcW w:w="2551" w:type="dxa"/>
            <w:vAlign w:val="center"/>
          </w:tcPr>
          <w:p>
            <w:pPr>
              <w:pStyle w:val="12"/>
            </w:pPr>
            <w:r>
              <w:t>909.04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2040502</w:t>
            </w:r>
          </w:p>
        </w:tc>
        <w:tc>
          <w:tcPr>
            <w:tcW w:w="4535" w:type="dxa"/>
            <w:vAlign w:val="center"/>
          </w:tcPr>
          <w:p>
            <w:pPr>
              <w:pStyle w:val="13"/>
            </w:pPr>
            <w:r>
              <w:t>一般行政管理事务</w:t>
            </w:r>
          </w:p>
        </w:tc>
        <w:tc>
          <w:tcPr>
            <w:tcW w:w="2551" w:type="dxa"/>
            <w:vAlign w:val="center"/>
          </w:tcPr>
          <w:p>
            <w:pPr>
              <w:pStyle w:val="12"/>
            </w:pPr>
            <w:r>
              <w:t>353.58</w:t>
            </w:r>
          </w:p>
        </w:tc>
        <w:tc>
          <w:tcPr>
            <w:tcW w:w="2551" w:type="dxa"/>
            <w:vAlign w:val="center"/>
          </w:tcPr>
          <w:p>
            <w:pPr>
              <w:pStyle w:val="12"/>
            </w:pPr>
          </w:p>
        </w:tc>
        <w:tc>
          <w:tcPr>
            <w:tcW w:w="2551" w:type="dxa"/>
            <w:vAlign w:val="center"/>
          </w:tcPr>
          <w:p>
            <w:pPr>
              <w:pStyle w:val="12"/>
            </w:pPr>
            <w:r>
              <w:t>353.58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2040504</w:t>
            </w:r>
          </w:p>
        </w:tc>
        <w:tc>
          <w:tcPr>
            <w:tcW w:w="4535" w:type="dxa"/>
            <w:vAlign w:val="center"/>
          </w:tcPr>
          <w:p>
            <w:pPr>
              <w:pStyle w:val="13"/>
            </w:pPr>
            <w:r>
              <w:t>案件审判</w:t>
            </w:r>
          </w:p>
        </w:tc>
        <w:tc>
          <w:tcPr>
            <w:tcW w:w="2551" w:type="dxa"/>
            <w:vAlign w:val="center"/>
          </w:tcPr>
          <w:p>
            <w:pPr>
              <w:pStyle w:val="12"/>
            </w:pPr>
            <w:r>
              <w:t>194.28</w:t>
            </w:r>
          </w:p>
        </w:tc>
        <w:tc>
          <w:tcPr>
            <w:tcW w:w="2551" w:type="dxa"/>
            <w:vAlign w:val="center"/>
          </w:tcPr>
          <w:p>
            <w:pPr>
              <w:pStyle w:val="12"/>
            </w:pPr>
          </w:p>
        </w:tc>
        <w:tc>
          <w:tcPr>
            <w:tcW w:w="2551" w:type="dxa"/>
            <w:vAlign w:val="center"/>
          </w:tcPr>
          <w:p>
            <w:pPr>
              <w:pStyle w:val="12"/>
            </w:pPr>
            <w:r>
              <w:t>194.28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2040505</w:t>
            </w:r>
          </w:p>
        </w:tc>
        <w:tc>
          <w:tcPr>
            <w:tcW w:w="4535" w:type="dxa"/>
            <w:vAlign w:val="center"/>
          </w:tcPr>
          <w:p>
            <w:pPr>
              <w:pStyle w:val="13"/>
            </w:pPr>
            <w:r>
              <w:t>案件执行</w:t>
            </w:r>
          </w:p>
        </w:tc>
        <w:tc>
          <w:tcPr>
            <w:tcW w:w="2551" w:type="dxa"/>
            <w:vAlign w:val="center"/>
          </w:tcPr>
          <w:p>
            <w:pPr>
              <w:pStyle w:val="12"/>
            </w:pPr>
            <w:r>
              <w:t>83.12</w:t>
            </w:r>
          </w:p>
        </w:tc>
        <w:tc>
          <w:tcPr>
            <w:tcW w:w="2551" w:type="dxa"/>
            <w:vAlign w:val="center"/>
          </w:tcPr>
          <w:p>
            <w:pPr>
              <w:pStyle w:val="12"/>
            </w:pPr>
          </w:p>
        </w:tc>
        <w:tc>
          <w:tcPr>
            <w:tcW w:w="2551" w:type="dxa"/>
            <w:vAlign w:val="center"/>
          </w:tcPr>
          <w:p>
            <w:pPr>
              <w:pStyle w:val="12"/>
            </w:pPr>
            <w:r>
              <w:t>83.12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2040550</w:t>
            </w:r>
          </w:p>
        </w:tc>
        <w:tc>
          <w:tcPr>
            <w:tcW w:w="4535" w:type="dxa"/>
            <w:vAlign w:val="center"/>
          </w:tcPr>
          <w:p>
            <w:pPr>
              <w:pStyle w:val="13"/>
            </w:pPr>
            <w:r>
              <w:t>事业运行</w:t>
            </w:r>
          </w:p>
        </w:tc>
        <w:tc>
          <w:tcPr>
            <w:tcW w:w="2551" w:type="dxa"/>
            <w:vAlign w:val="center"/>
          </w:tcPr>
          <w:p>
            <w:pPr>
              <w:pStyle w:val="12"/>
            </w:pPr>
            <w:r>
              <w:t>24.26</w:t>
            </w:r>
          </w:p>
        </w:tc>
        <w:tc>
          <w:tcPr>
            <w:tcW w:w="2551" w:type="dxa"/>
            <w:vAlign w:val="center"/>
          </w:tcPr>
          <w:p>
            <w:pPr>
              <w:pStyle w:val="12"/>
            </w:pPr>
            <w:r>
              <w:t>24.26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202.37</w:t>
            </w:r>
          </w:p>
        </w:tc>
        <w:tc>
          <w:tcPr>
            <w:tcW w:w="2551" w:type="dxa"/>
            <w:vAlign w:val="center"/>
          </w:tcPr>
          <w:p>
            <w:pPr>
              <w:pStyle w:val="12"/>
            </w:pPr>
            <w:r>
              <w:t>202.37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202.37</w:t>
            </w:r>
          </w:p>
        </w:tc>
        <w:tc>
          <w:tcPr>
            <w:tcW w:w="2551" w:type="dxa"/>
            <w:vAlign w:val="center"/>
          </w:tcPr>
          <w:p>
            <w:pPr>
              <w:pStyle w:val="12"/>
            </w:pPr>
            <w:r>
              <w:t>202.37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93.88</w:t>
            </w:r>
          </w:p>
        </w:tc>
        <w:tc>
          <w:tcPr>
            <w:tcW w:w="2551" w:type="dxa"/>
            <w:vAlign w:val="center"/>
          </w:tcPr>
          <w:p>
            <w:pPr>
              <w:pStyle w:val="12"/>
            </w:pPr>
            <w:r>
              <w:t>93.88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108.49</w:t>
            </w:r>
          </w:p>
        </w:tc>
        <w:tc>
          <w:tcPr>
            <w:tcW w:w="2551" w:type="dxa"/>
            <w:vAlign w:val="center"/>
          </w:tcPr>
          <w:p>
            <w:pPr>
              <w:pStyle w:val="12"/>
            </w:pPr>
            <w:r>
              <w:t>108.49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30.72</w:t>
            </w:r>
          </w:p>
        </w:tc>
        <w:tc>
          <w:tcPr>
            <w:tcW w:w="2551" w:type="dxa"/>
            <w:vAlign w:val="center"/>
          </w:tcPr>
          <w:p>
            <w:pPr>
              <w:pStyle w:val="12"/>
            </w:pPr>
            <w:r>
              <w:t>30.72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30.72</w:t>
            </w:r>
          </w:p>
        </w:tc>
        <w:tc>
          <w:tcPr>
            <w:tcW w:w="2551" w:type="dxa"/>
            <w:vAlign w:val="center"/>
          </w:tcPr>
          <w:p>
            <w:pPr>
              <w:pStyle w:val="12"/>
            </w:pPr>
            <w:r>
              <w:t>30.72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30.72</w:t>
            </w:r>
          </w:p>
        </w:tc>
        <w:tc>
          <w:tcPr>
            <w:tcW w:w="2551" w:type="dxa"/>
            <w:vAlign w:val="center"/>
          </w:tcPr>
          <w:p>
            <w:pPr>
              <w:pStyle w:val="12"/>
            </w:pPr>
            <w:r>
              <w:t>30.72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68.49</w:t>
            </w:r>
          </w:p>
        </w:tc>
        <w:tc>
          <w:tcPr>
            <w:tcW w:w="2551" w:type="dxa"/>
            <w:vAlign w:val="center"/>
          </w:tcPr>
          <w:p>
            <w:pPr>
              <w:pStyle w:val="12"/>
            </w:pPr>
            <w:r>
              <w:t>68.49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68.49</w:t>
            </w:r>
          </w:p>
        </w:tc>
        <w:tc>
          <w:tcPr>
            <w:tcW w:w="2551" w:type="dxa"/>
            <w:vAlign w:val="center"/>
          </w:tcPr>
          <w:p>
            <w:pPr>
              <w:pStyle w:val="12"/>
            </w:pPr>
            <w:r>
              <w:t>68.49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68.49</w:t>
            </w:r>
          </w:p>
        </w:tc>
        <w:tc>
          <w:tcPr>
            <w:tcW w:w="2551" w:type="dxa"/>
            <w:vAlign w:val="center"/>
          </w:tcPr>
          <w:p>
            <w:pPr>
              <w:pStyle w:val="12"/>
            </w:pPr>
            <w:r>
              <w:t>68.49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606武强县人民法院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1234.88</w:t>
            </w:r>
          </w:p>
        </w:tc>
        <w:tc>
          <w:tcPr>
            <w:tcW w:w="2551" w:type="dxa"/>
            <w:vAlign w:val="center"/>
          </w:tcPr>
          <w:p>
            <w:pPr>
              <w:pStyle w:val="16"/>
            </w:pPr>
            <w:r>
              <w:t>1133.99</w:t>
            </w:r>
          </w:p>
        </w:tc>
        <w:tc>
          <w:tcPr>
            <w:tcW w:w="2551" w:type="dxa"/>
            <w:vAlign w:val="center"/>
          </w:tcPr>
          <w:p>
            <w:pPr>
              <w:pStyle w:val="16"/>
            </w:pPr>
            <w:r>
              <w:t>100.89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1040.01</w:t>
            </w:r>
          </w:p>
        </w:tc>
        <w:tc>
          <w:tcPr>
            <w:tcW w:w="2551" w:type="dxa"/>
            <w:vAlign w:val="center"/>
          </w:tcPr>
          <w:p>
            <w:pPr>
              <w:pStyle w:val="12"/>
            </w:pPr>
            <w:r>
              <w:t>1040.01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333.93</w:t>
            </w:r>
          </w:p>
        </w:tc>
        <w:tc>
          <w:tcPr>
            <w:tcW w:w="2551" w:type="dxa"/>
            <w:vAlign w:val="center"/>
          </w:tcPr>
          <w:p>
            <w:pPr>
              <w:pStyle w:val="12"/>
            </w:pPr>
            <w:r>
              <w:t>333.93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148.03</w:t>
            </w:r>
          </w:p>
        </w:tc>
        <w:tc>
          <w:tcPr>
            <w:tcW w:w="2551" w:type="dxa"/>
            <w:vAlign w:val="center"/>
          </w:tcPr>
          <w:p>
            <w:pPr>
              <w:pStyle w:val="12"/>
            </w:pPr>
            <w:r>
              <w:t>148.03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335.54</w:t>
            </w:r>
          </w:p>
        </w:tc>
        <w:tc>
          <w:tcPr>
            <w:tcW w:w="2551" w:type="dxa"/>
            <w:vAlign w:val="center"/>
          </w:tcPr>
          <w:p>
            <w:pPr>
              <w:pStyle w:val="12"/>
            </w:pPr>
            <w:r>
              <w:t>335.54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12.20</w:t>
            </w:r>
          </w:p>
        </w:tc>
        <w:tc>
          <w:tcPr>
            <w:tcW w:w="2551" w:type="dxa"/>
            <w:vAlign w:val="center"/>
          </w:tcPr>
          <w:p>
            <w:pPr>
              <w:pStyle w:val="12"/>
            </w:pPr>
            <w:r>
              <w:t>12.20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108.49</w:t>
            </w:r>
          </w:p>
        </w:tc>
        <w:tc>
          <w:tcPr>
            <w:tcW w:w="2551" w:type="dxa"/>
            <w:vAlign w:val="center"/>
          </w:tcPr>
          <w:p>
            <w:pPr>
              <w:pStyle w:val="12"/>
            </w:pPr>
            <w:r>
              <w:t>108.49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30.72</w:t>
            </w:r>
          </w:p>
        </w:tc>
        <w:tc>
          <w:tcPr>
            <w:tcW w:w="2551" w:type="dxa"/>
            <w:vAlign w:val="center"/>
          </w:tcPr>
          <w:p>
            <w:pPr>
              <w:pStyle w:val="12"/>
            </w:pPr>
            <w:r>
              <w:t>30.72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2.61</w:t>
            </w:r>
          </w:p>
        </w:tc>
        <w:tc>
          <w:tcPr>
            <w:tcW w:w="2551" w:type="dxa"/>
            <w:vAlign w:val="center"/>
          </w:tcPr>
          <w:p>
            <w:pPr>
              <w:pStyle w:val="12"/>
            </w:pPr>
            <w:r>
              <w:t>2.61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68.49</w:t>
            </w:r>
          </w:p>
        </w:tc>
        <w:tc>
          <w:tcPr>
            <w:tcW w:w="2551" w:type="dxa"/>
            <w:vAlign w:val="center"/>
          </w:tcPr>
          <w:p>
            <w:pPr>
              <w:pStyle w:val="12"/>
            </w:pPr>
            <w:r>
              <w:t>68.49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100.89</w:t>
            </w:r>
          </w:p>
        </w:tc>
        <w:tc>
          <w:tcPr>
            <w:tcW w:w="2551" w:type="dxa"/>
            <w:vAlign w:val="center"/>
          </w:tcPr>
          <w:p>
            <w:pPr>
              <w:pStyle w:val="12"/>
            </w:pPr>
          </w:p>
        </w:tc>
        <w:tc>
          <w:tcPr>
            <w:tcW w:w="2551" w:type="dxa"/>
            <w:vAlign w:val="center"/>
          </w:tcPr>
          <w:p>
            <w:pPr>
              <w:pStyle w:val="12"/>
            </w:pPr>
            <w:r>
              <w:t>100.89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0.85</w:t>
            </w:r>
          </w:p>
        </w:tc>
        <w:tc>
          <w:tcPr>
            <w:tcW w:w="2551" w:type="dxa"/>
            <w:vAlign w:val="center"/>
          </w:tcPr>
          <w:p>
            <w:pPr>
              <w:pStyle w:val="12"/>
            </w:pPr>
          </w:p>
        </w:tc>
        <w:tc>
          <w:tcPr>
            <w:tcW w:w="2551" w:type="dxa"/>
            <w:vAlign w:val="center"/>
          </w:tcPr>
          <w:p>
            <w:pPr>
              <w:pStyle w:val="12"/>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4.50</w:t>
            </w:r>
          </w:p>
        </w:tc>
        <w:tc>
          <w:tcPr>
            <w:tcW w:w="2551" w:type="dxa"/>
            <w:vAlign w:val="center"/>
          </w:tcPr>
          <w:p>
            <w:pPr>
              <w:pStyle w:val="12"/>
            </w:pPr>
          </w:p>
        </w:tc>
        <w:tc>
          <w:tcPr>
            <w:tcW w:w="2551" w:type="dxa"/>
            <w:vAlign w:val="center"/>
          </w:tcPr>
          <w:p>
            <w:pPr>
              <w:pStyle w:val="12"/>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15.58</w:t>
            </w:r>
          </w:p>
        </w:tc>
        <w:tc>
          <w:tcPr>
            <w:tcW w:w="2551" w:type="dxa"/>
            <w:vAlign w:val="center"/>
          </w:tcPr>
          <w:p>
            <w:pPr>
              <w:pStyle w:val="12"/>
            </w:pPr>
          </w:p>
        </w:tc>
        <w:tc>
          <w:tcPr>
            <w:tcW w:w="2551" w:type="dxa"/>
            <w:vAlign w:val="center"/>
          </w:tcPr>
          <w:p>
            <w:pPr>
              <w:pStyle w:val="12"/>
            </w:pPr>
            <w:r>
              <w:t>15.58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14.96</w:t>
            </w:r>
          </w:p>
        </w:tc>
        <w:tc>
          <w:tcPr>
            <w:tcW w:w="2551" w:type="dxa"/>
            <w:vAlign w:val="center"/>
          </w:tcPr>
          <w:p>
            <w:pPr>
              <w:pStyle w:val="12"/>
            </w:pPr>
          </w:p>
        </w:tc>
        <w:tc>
          <w:tcPr>
            <w:tcW w:w="2551" w:type="dxa"/>
            <w:vAlign w:val="center"/>
          </w:tcPr>
          <w:p>
            <w:pPr>
              <w:pStyle w:val="12"/>
            </w:pPr>
            <w:r>
              <w:t>14.96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6.82</w:t>
            </w:r>
          </w:p>
        </w:tc>
        <w:tc>
          <w:tcPr>
            <w:tcW w:w="2551" w:type="dxa"/>
            <w:vAlign w:val="center"/>
          </w:tcPr>
          <w:p>
            <w:pPr>
              <w:pStyle w:val="12"/>
            </w:pPr>
          </w:p>
        </w:tc>
        <w:tc>
          <w:tcPr>
            <w:tcW w:w="2551" w:type="dxa"/>
            <w:vAlign w:val="center"/>
          </w:tcPr>
          <w:p>
            <w:pPr>
              <w:pStyle w:val="12"/>
            </w:pPr>
            <w:r>
              <w:t>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41.38</w:t>
            </w:r>
          </w:p>
        </w:tc>
        <w:tc>
          <w:tcPr>
            <w:tcW w:w="2551" w:type="dxa"/>
            <w:vAlign w:val="center"/>
          </w:tcPr>
          <w:p>
            <w:pPr>
              <w:pStyle w:val="12"/>
            </w:pPr>
          </w:p>
        </w:tc>
        <w:tc>
          <w:tcPr>
            <w:tcW w:w="2551" w:type="dxa"/>
            <w:vAlign w:val="center"/>
          </w:tcPr>
          <w:p>
            <w:pPr>
              <w:pStyle w:val="12"/>
            </w:pPr>
            <w:r>
              <w:t>41.38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0.80</w:t>
            </w:r>
          </w:p>
        </w:tc>
        <w:tc>
          <w:tcPr>
            <w:tcW w:w="2551" w:type="dxa"/>
            <w:vAlign w:val="center"/>
          </w:tcPr>
          <w:p>
            <w:pPr>
              <w:pStyle w:val="12"/>
            </w:pPr>
          </w:p>
        </w:tc>
        <w:tc>
          <w:tcPr>
            <w:tcW w:w="2551"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93.98</w:t>
            </w:r>
          </w:p>
        </w:tc>
        <w:tc>
          <w:tcPr>
            <w:tcW w:w="2551" w:type="dxa"/>
            <w:vAlign w:val="center"/>
          </w:tcPr>
          <w:p>
            <w:pPr>
              <w:pStyle w:val="12"/>
            </w:pPr>
            <w:r>
              <w:t>93.98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93.88</w:t>
            </w:r>
          </w:p>
        </w:tc>
        <w:tc>
          <w:tcPr>
            <w:tcW w:w="2551" w:type="dxa"/>
            <w:vAlign w:val="center"/>
          </w:tcPr>
          <w:p>
            <w:pPr>
              <w:pStyle w:val="12"/>
            </w:pPr>
            <w:r>
              <w:t>93.88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0.10</w:t>
            </w:r>
          </w:p>
        </w:tc>
        <w:tc>
          <w:tcPr>
            <w:tcW w:w="2551" w:type="dxa"/>
            <w:vAlign w:val="center"/>
          </w:tcPr>
          <w:p>
            <w:pPr>
              <w:pStyle w:val="12"/>
            </w:pPr>
            <w:r>
              <w:t>0.10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606武强县人民法院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606武强县人民法院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606武强县人民法院</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29.73</w:t>
            </w:r>
          </w:p>
        </w:tc>
        <w:tc>
          <w:tcPr>
            <w:tcW w:w="2381" w:type="dxa"/>
            <w:vAlign w:val="center"/>
          </w:tcPr>
          <w:p>
            <w:pPr>
              <w:pStyle w:val="16"/>
            </w:pPr>
            <w:r>
              <w:t>29.73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29.73</w:t>
            </w:r>
          </w:p>
        </w:tc>
        <w:tc>
          <w:tcPr>
            <w:tcW w:w="2381" w:type="dxa"/>
            <w:vAlign w:val="center"/>
          </w:tcPr>
          <w:p>
            <w:pPr>
              <w:pStyle w:val="12"/>
            </w:pPr>
            <w:r>
              <w:t>29.73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二、公务用车购置及运维费</w:t>
            </w:r>
          </w:p>
        </w:tc>
        <w:tc>
          <w:tcPr>
            <w:tcW w:w="2381" w:type="dxa"/>
            <w:vAlign w:val="center"/>
          </w:tcPr>
          <w:p>
            <w:pPr>
              <w:pStyle w:val="12"/>
            </w:pPr>
            <w:r>
              <w:t>29.73</w:t>
            </w:r>
          </w:p>
        </w:tc>
        <w:tc>
          <w:tcPr>
            <w:tcW w:w="2381" w:type="dxa"/>
            <w:vAlign w:val="center"/>
          </w:tcPr>
          <w:p>
            <w:pPr>
              <w:pStyle w:val="12"/>
            </w:pPr>
            <w:r>
              <w:t>29.73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其中：公务用车购置费</w:t>
            </w:r>
          </w:p>
        </w:tc>
        <w:tc>
          <w:tcPr>
            <w:tcW w:w="2381" w:type="dxa"/>
            <w:vAlign w:val="center"/>
          </w:tcPr>
          <w:p>
            <w:pPr>
              <w:pStyle w:val="12"/>
            </w:pPr>
            <w:r>
              <w:t>3.70</w:t>
            </w:r>
          </w:p>
        </w:tc>
        <w:tc>
          <w:tcPr>
            <w:tcW w:w="2381" w:type="dxa"/>
            <w:vAlign w:val="center"/>
          </w:tcPr>
          <w:p>
            <w:pPr>
              <w:pStyle w:val="12"/>
            </w:pPr>
            <w:r>
              <w:t>3.70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公务用车运行维护费</w:t>
            </w:r>
          </w:p>
        </w:tc>
        <w:tc>
          <w:tcPr>
            <w:tcW w:w="2381" w:type="dxa"/>
            <w:vAlign w:val="center"/>
          </w:tcPr>
          <w:p>
            <w:pPr>
              <w:pStyle w:val="12"/>
            </w:pPr>
            <w:r>
              <w:t>26.03</w:t>
            </w:r>
          </w:p>
        </w:tc>
        <w:tc>
          <w:tcPr>
            <w:tcW w:w="2381" w:type="dxa"/>
            <w:vAlign w:val="center"/>
          </w:tcPr>
          <w:p>
            <w:pPr>
              <w:pStyle w:val="12"/>
            </w:pPr>
            <w:r>
              <w:t>26.03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武强县人民法院2024年部门预算信息公开情况说明</w:t>
      </w:r>
    </w:p>
    <w:p>
      <w:pPr>
        <w:jc w:val="center"/>
      </w:pPr>
      <w:r>
        <w:rPr>
          <w:rFonts w:ascii="方正小标宋_GBK" w:hAnsi="方正小标宋_GBK" w:eastAsia="方正小标宋_GBK" w:cs="方正小标宋_GBK"/>
          <w:color w:val="000000"/>
          <w:sz w:val="44"/>
        </w:rPr>
        <w:t>武强县人民法院2024年部门预算信息公开情况说明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按照《中华人民共和国预算法》、《地方预决算公开操作规程》和《关于进一步推进预算公开工作的实施意见》规定，现将武强县人民法院2024年部门预算公开如下：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（一）案件审判和执行</w:t>
      </w:r>
    </w:p>
    <w:p>
      <w:pPr>
        <w:pStyle w:val="18"/>
      </w:pPr>
      <w:r>
        <w:t>依法审判法律规定由县人民法院管辖的刑事、民事、行政等案件，依法审理由人民检察院按照审判监督管理程序提起的抗诉案件，依法办理发生法律效力的判决、其他法律文书的执行，提高审判质效与执结率，保障公共安全，维护社会稳定，服务全市、县工作大局。</w:t>
      </w:r>
    </w:p>
    <w:p>
      <w:pPr>
        <w:pStyle w:val="18"/>
      </w:pPr>
      <w:r>
        <w:t>（二）司法救助和国家赔偿</w:t>
      </w:r>
    </w:p>
    <w:p>
      <w:pPr>
        <w:pStyle w:val="18"/>
      </w:pPr>
      <w:r>
        <w:t>完成涉法涉诉案件的息诉罢访工作，依法办理司法救助和国家赔偿案件。</w:t>
      </w:r>
    </w:p>
    <w:p>
      <w:pPr>
        <w:pStyle w:val="18"/>
      </w:pPr>
      <w:r>
        <w:t>（三）完成事务管理</w:t>
      </w:r>
    </w:p>
    <w:p>
      <w:pPr>
        <w:pStyle w:val="18"/>
      </w:pPr>
      <w:r>
        <w:t>加强作风建设，进一步完善司法作风建设长效机制。加强廉政建设集中教育活动，强化法官之职业道德意识，落实党风廉政建设主体责任和监督责任。同时，做好后勤管理和服务工作。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武强县人民法院本级</w:t>
            </w:r>
          </w:p>
        </w:tc>
        <w:tc>
          <w:tcPr>
            <w:tcW w:w="1843" w:type="dxa"/>
            <w:vAlign w:val="center"/>
          </w:tcPr>
          <w:p>
            <w:pPr>
              <w:pStyle w:val="14"/>
            </w:pPr>
            <w:r>
              <w:t>行政</w:t>
            </w:r>
          </w:p>
        </w:tc>
        <w:tc>
          <w:tcPr>
            <w:tcW w:w="2126" w:type="dxa"/>
            <w:vAlign w:val="center"/>
          </w:tcPr>
          <w:p>
            <w:pPr>
              <w:pStyle w:val="14"/>
            </w:pPr>
            <w:r>
              <w:t>副厅（地）级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按照预算管理有关规定，目前部门预算的编制实行综合预算管理，即全部收入和支出都反映在预算中。武强县人民法院机关及所属事业单位的收支包含在部门预算中。</w:t>
      </w:r>
    </w:p>
    <w:p>
      <w:pPr>
        <w:pStyle w:val="19"/>
      </w:pPr>
      <w:r>
        <w:t>1、收入说明</w:t>
      </w:r>
    </w:p>
    <w:p>
      <w:pPr>
        <w:pStyle w:val="19"/>
      </w:pPr>
      <w:r>
        <w:t>反映本部门当年全部收入。2024年预算收入1865.85万元，其中：一般公共预算收入1785.46万元，基金预算收入0.00万元，国有资本经营预算收入0.00万元，财政专户核拨收入0.00万元，单位资金收入0.00万元，上年结转结余80.39万元。</w:t>
      </w:r>
    </w:p>
    <w:p>
      <w:pPr>
        <w:pStyle w:val="19"/>
      </w:pPr>
      <w:r>
        <w:t>2、支出说明</w:t>
      </w:r>
    </w:p>
    <w:p>
      <w:pPr>
        <w:pStyle w:val="19"/>
      </w:pPr>
      <w:r>
        <w:t>收支预算总表支出栏、基本支出表、项目支出表按经济分类和支出功能分类科目编制，反映武强县人民法院年度部门预算中支出预算的总体情况。2024年支出预算1865.85万元，其中基本支出1234.88万元，包括人员经费1133.99万元和日常公用经费100.89万元；项目支出630.97万元，主要为聘任制书记员人员经费项目105.5万元、劳务派遣人员经费项目100.3万元、定补社保退休人员统筹外资金2.91万元、运行保障经费144.87万元、提前下达2024年中央政法纪检监察转移支付资金132万元、提前下达2024年省级基层公检法司转移支付资金65万元、2023年中央政法纪检监察转移支付资金32.16万元、2023年省级基层公检法司转移支付资金18.12万元、2023年中央政法纪检监察转移支付资金第二批0.42、2023年建设补助资金29.69万元。</w:t>
      </w:r>
    </w:p>
    <w:p>
      <w:pPr>
        <w:pStyle w:val="19"/>
      </w:pPr>
      <w:r>
        <w:t>3、比上年增减情况</w:t>
      </w:r>
    </w:p>
    <w:p>
      <w:pPr>
        <w:pStyle w:val="19"/>
      </w:pPr>
      <w:r>
        <w:t>2024年预算收支安排1865.85万元，较2023年预算增加509.74万元，其中：基本支出增加72.90万元，主要为日常公用经费增加36.89万元，分别为办公取暖费15.56万元、电费、维修费增加9.4万元、工会经费增加2023年余款、福利费等预算11.93万元；人员经费增加36.01万元，主要为法院奖金增加。项目支出增加436.84万元，主要为提前下达2023年中央及省级政法转移支付资金、建设补助资金375万元、2022年中央及省级政法转移支付结转资金、运行保障经费未做入市级年初预算。具体为提前下达2024年中央及省级政法转移支付资金197万元、2022年中央及省级政法转移支付资金结转80.39万元、运行保障经费较年初预算增加144.87万元、劳务派遣人员经费增加10.3万元、聘任制书记员人员经费增加3.77万元、定补社保退休人员统筹外资金增加0.51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2024年，我部门机关运行经费共计安排100.89万元，主要用于日常维修、水电费、取暖费、物业管理费等日常运行支出。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2024年，我部门财政拨款“三公”经费预算安排29.73万元，其中因公出国（境）费0.00万元；公务用车购置及运维费29.73万元（其中公务用车购置费为3.70万元</w:t>
      </w:r>
      <w:r>
        <w:rPr>
          <w:rFonts w:hint="eastAsia"/>
          <w:lang w:eastAsia="zh-CN"/>
        </w:rPr>
        <w:t>、</w:t>
      </w:r>
      <w:r>
        <w:t>公务用车运维费26.03万元)；公务接待费0.00万元。与2023年相比增加25.73万元，增减变化的主要原因是因公出国（境）费较上年持平，无增减变化。</w:t>
      </w:r>
    </w:p>
    <w:p>
      <w:pPr>
        <w:pStyle w:val="21"/>
      </w:pPr>
      <w:r>
        <w:t>公务用车购置及运维费，较上年增加25.73万元，其中：公务用车购置较上年增加3.7万元，主要是因为增加公务用车购置欠款预算；公务用车运行维护费，较上年增加22.03万元，主要是因为提前下达2023年中央及省级政法转移支付资金、2022年中央及省级政法转移支付结转资金、运行保障经费未</w:t>
      </w:r>
      <w:r>
        <w:rPr>
          <w:rFonts w:hint="eastAsia"/>
          <w:lang w:eastAsia="zh-CN"/>
        </w:rPr>
        <w:t>列</w:t>
      </w:r>
      <w:r>
        <w:t>入年初预算。</w:t>
      </w:r>
    </w:p>
    <w:p>
      <w:pPr>
        <w:pStyle w:val="21"/>
      </w:pPr>
      <w:r>
        <w:t>公务接待费较上年持平，无增减变化。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pPr>
      <w:r>
        <w:t>总体目标绩效：</w:t>
      </w:r>
    </w:p>
    <w:p>
      <w:pPr>
        <w:pStyle w:val="22"/>
      </w:pPr>
      <w:r>
        <w:t>我院要坚持以习近平中国特色社会主义思想为指导，深入学习贯彻党的十二大精神，以有力有效措施不断扩大贯彻落实成效。妥善处理各类矛盾纠纷，依法维护国家安全和社会稳定，严惩各类严重刑事犯罪，营造良好的法治环境；落实司法为民措施，保护被侵权人合法利益，促进国家机关依法行使职权；提高队伍素质和执法能力，高质高效完成各项工作。</w:t>
      </w:r>
    </w:p>
    <w:p>
      <w:pPr>
        <w:spacing w:line="500" w:lineRule="exact"/>
        <w:ind w:firstLine="560"/>
      </w:pPr>
      <w:r>
        <w:rPr>
          <w:rFonts w:eastAsia="方正仿宋_GBK"/>
          <w:color w:val="000000"/>
          <w:sz w:val="28"/>
        </w:rPr>
        <w:t>（二）分项绩效目标</w:t>
      </w:r>
    </w:p>
    <w:p>
      <w:pPr>
        <w:pStyle w:val="23"/>
      </w:pPr>
      <w:r>
        <w:t>分项绩效目标</w:t>
      </w:r>
    </w:p>
    <w:p>
      <w:pPr>
        <w:pStyle w:val="23"/>
      </w:pPr>
      <w:r>
        <w:t>（一）案件审判和执行</w:t>
      </w:r>
    </w:p>
    <w:p>
      <w:pPr>
        <w:pStyle w:val="23"/>
      </w:pPr>
      <w:r>
        <w:t>绩效目标：强化审判管理，加大执行力度，提升审执质效。</w:t>
      </w:r>
    </w:p>
    <w:p>
      <w:pPr>
        <w:pStyle w:val="23"/>
      </w:pPr>
      <w:r>
        <w:t>绩效指标：数量指标：预计2023年受理各类案件1850件，结案率平均达到98%。其中：审理刑事案件70件，收交罚没6000万元，结案率预</w:t>
      </w:r>
      <w:r>
        <w:rPr>
          <w:rFonts w:hint="eastAsia"/>
          <w:lang w:eastAsia="zh-CN"/>
        </w:rPr>
        <w:t>计</w:t>
      </w:r>
      <w:r>
        <w:t>达到100%；审理民商事案件900件，收取诉讼费160万元，结案率达到98%；执行案件760件，结案率预达93%；行政案件40件，结案率预</w:t>
      </w:r>
      <w:r>
        <w:rPr>
          <w:rFonts w:hint="eastAsia"/>
          <w:lang w:eastAsia="zh-CN"/>
        </w:rPr>
        <w:t>计</w:t>
      </w:r>
      <w:r>
        <w:t>达100%；申请再审和申诉案件5件，结案率达</w:t>
      </w:r>
      <w:r>
        <w:rPr>
          <w:rFonts w:hint="eastAsia"/>
          <w:lang w:eastAsia="zh-CN"/>
        </w:rPr>
        <w:t>到</w:t>
      </w:r>
      <w:r>
        <w:t>100%。</w:t>
      </w:r>
    </w:p>
    <w:p>
      <w:pPr>
        <w:pStyle w:val="23"/>
      </w:pPr>
      <w:r>
        <w:t>质量指标：提高裁判文书信息合格情况。</w:t>
      </w:r>
    </w:p>
    <w:p>
      <w:pPr>
        <w:pStyle w:val="23"/>
      </w:pPr>
      <w:r>
        <w:t>成本指标：办案业务支出平均成本低于法院系统内水平。</w:t>
      </w:r>
    </w:p>
    <w:p>
      <w:pPr>
        <w:pStyle w:val="23"/>
      </w:pPr>
      <w:r>
        <w:t>时效指标：2023年刑事案件结案时间预计平均34.3天，民商事案件结案时间预计平均36天，执行案件执结时间预计平均81天，各类案件均在法定审限内结案。</w:t>
      </w:r>
    </w:p>
    <w:p>
      <w:pPr>
        <w:pStyle w:val="23"/>
      </w:pPr>
      <w:r>
        <w:t>社会效益指标：庭审公开直播率大于40%。</w:t>
      </w:r>
    </w:p>
    <w:p>
      <w:pPr>
        <w:pStyle w:val="23"/>
      </w:pPr>
      <w:r>
        <w:t>满意度指标：人大、政协、律协等单位进行满意度测评90%。</w:t>
      </w:r>
    </w:p>
    <w:p>
      <w:pPr>
        <w:pStyle w:val="23"/>
      </w:pPr>
      <w:r>
        <w:t>（二）法院事务管理</w:t>
      </w:r>
    </w:p>
    <w:p>
      <w:pPr>
        <w:pStyle w:val="23"/>
      </w:pPr>
      <w:r>
        <w:t>绩效目标1：积极主动作为，着力提升司法合理保障。</w:t>
      </w:r>
    </w:p>
    <w:p>
      <w:pPr>
        <w:pStyle w:val="23"/>
      </w:pPr>
      <w:r>
        <w:t>绩效指标：</w:t>
      </w:r>
    </w:p>
    <w:p>
      <w:pPr>
        <w:pStyle w:val="23"/>
      </w:pPr>
      <w:r>
        <w:t>数量指标：办公用房、业务用房的合理合规保障。</w:t>
      </w:r>
    </w:p>
    <w:p>
      <w:pPr>
        <w:pStyle w:val="23"/>
      </w:pPr>
      <w:r>
        <w:t>质量指标：保证单位正常运转比率大于90%。</w:t>
      </w:r>
    </w:p>
    <w:p>
      <w:pPr>
        <w:pStyle w:val="23"/>
      </w:pPr>
      <w:r>
        <w:t>成本指标：总成本控制率小于等于100%。总成本控制率=按时完成正常运转事项/上年度实际运转经费*100%。</w:t>
      </w:r>
    </w:p>
    <w:p>
      <w:pPr>
        <w:pStyle w:val="23"/>
      </w:pPr>
      <w:r>
        <w:t>时效指标：正常运转执行率大于等于80%。运转执行率=按时完成正常运转事项/部门单位所有正常运转事项。</w:t>
      </w:r>
    </w:p>
    <w:p>
      <w:pPr>
        <w:pStyle w:val="23"/>
      </w:pPr>
      <w:r>
        <w:t>社会效益指标：保证各项工作顺利开展。反映运转保障各项工作开展的效果。</w:t>
      </w:r>
    </w:p>
    <w:p>
      <w:pPr>
        <w:pStyle w:val="23"/>
      </w:pPr>
      <w:r>
        <w:t>满意度指标：服务对象满意度小于等于90%。</w:t>
      </w:r>
    </w:p>
    <w:p>
      <w:pPr>
        <w:pStyle w:val="23"/>
      </w:pPr>
    </w:p>
    <w:p>
      <w:pPr>
        <w:pStyle w:val="23"/>
      </w:pPr>
      <w:r>
        <w:t>绩效目标2：加强队伍建设，打造出先进干警队伍。</w:t>
      </w:r>
    </w:p>
    <w:p>
      <w:pPr>
        <w:pStyle w:val="23"/>
      </w:pPr>
      <w:r>
        <w:t>绩效指标：</w:t>
      </w:r>
    </w:p>
    <w:p>
      <w:pPr>
        <w:pStyle w:val="23"/>
      </w:pPr>
      <w:r>
        <w:t>数量指标：任职公务员考核、监督工作完成率。即任职机关公务员考核、评比、监督工作完成次数占计划完成次数的比例。</w:t>
      </w:r>
    </w:p>
    <w:p>
      <w:pPr>
        <w:pStyle w:val="23"/>
      </w:pPr>
      <w:r>
        <w:t>质量指标：考核工作完成率。即对相关人员工作完成情况与标准完成情况相比较。</w:t>
      </w:r>
    </w:p>
    <w:p>
      <w:pPr>
        <w:pStyle w:val="23"/>
      </w:pPr>
      <w:r>
        <w:t>成本指标：人员支出平均成本小于等于法院系统内水平。</w:t>
      </w:r>
    </w:p>
    <w:p>
      <w:pPr>
        <w:pStyle w:val="23"/>
      </w:pPr>
      <w:r>
        <w:t>时效指标：业务处理及时性（%）。即及时处理业务数占总处理数的比率。</w:t>
      </w:r>
    </w:p>
    <w:p>
      <w:pPr>
        <w:pStyle w:val="23"/>
      </w:pPr>
      <w:r>
        <w:t>社会效益指标：人才增长率。</w:t>
      </w:r>
    </w:p>
    <w:p>
      <w:pPr>
        <w:pStyle w:val="23"/>
      </w:pPr>
      <w:r>
        <w:t>满意度指标：受训学员满意度（%）。即调查中满意和较满意的受训学员数量占调查总人数的100%。</w:t>
      </w:r>
    </w:p>
    <w:p>
      <w:pPr>
        <w:pStyle w:val="23"/>
      </w:pPr>
    </w:p>
    <w:p>
      <w:pPr>
        <w:spacing w:line="500" w:lineRule="exact"/>
        <w:ind w:firstLine="560"/>
      </w:pPr>
      <w:r>
        <w:rPr>
          <w:rFonts w:eastAsia="方正仿宋_GBK"/>
          <w:color w:val="000000"/>
          <w:sz w:val="28"/>
        </w:rPr>
        <w:t>（三）工作保障措施</w:t>
      </w:r>
    </w:p>
    <w:p>
      <w:pPr>
        <w:pStyle w:val="24"/>
      </w:pPr>
      <w:r>
        <w:t>工作保障措施</w:t>
      </w:r>
    </w:p>
    <w:p>
      <w:pPr>
        <w:pStyle w:val="24"/>
      </w:pPr>
      <w:r>
        <w:t>完善制度建设。制定完善的预算绩效管理制度、工作保障制度等，为全年预算绩效目标的实现奠定制度基础。</w:t>
      </w:r>
    </w:p>
    <w:p>
      <w:pPr>
        <w:pStyle w:val="24"/>
      </w:pPr>
      <w:r>
        <w:t>加强支出管理。通过优化支出结构、编细编实预算、加快履行政府采购手续、尽快启动项目、及时支付资金等多种措施，确保支出进度达标。</w:t>
      </w:r>
    </w:p>
    <w:p>
      <w:pPr>
        <w:pStyle w:val="24"/>
      </w:pPr>
      <w:r>
        <w:t>加强绩效运行监控。按要求开展绩效运行监控，发现问题及时采取措施，确保绩效目标如期保质实现。</w:t>
      </w:r>
    </w:p>
    <w:p>
      <w:pPr>
        <w:pStyle w:val="24"/>
      </w:pPr>
      <w:r>
        <w:t>做好绩效自评。</w:t>
      </w:r>
    </w:p>
    <w:p>
      <w:pPr>
        <w:pStyle w:val="24"/>
      </w:pPr>
      <w:r>
        <w:t>规范财务资产管理。完善资产管理制度，严格审批程序，加强资产流转登记、使用以及报废处理的管理，做到支出合理，物尽其用。</w:t>
      </w:r>
    </w:p>
    <w:p>
      <w:pPr>
        <w:pStyle w:val="24"/>
      </w:pPr>
      <w:r>
        <w:t>加强内部监督。加强内部监督制度建设，对绩效运行、重大支出决策、对会计资料进行内部审计，并配合审计、财政监督等外部监督工作，确保财政资金安全有效。</w:t>
      </w:r>
    </w:p>
    <w:p>
      <w:pPr>
        <w:pStyle w:val="24"/>
        <w:sectPr>
          <w:pgSz w:w="16840" w:h="11900" w:orient="landscape"/>
          <w:pgMar w:top="1361" w:right="1020" w:bottom="1361" w:left="1020" w:header="720" w:footer="720" w:gutter="0"/>
          <w:cols w:space="720" w:num="1"/>
        </w:sectPr>
      </w:pPr>
      <w:r>
        <w:t>加强业务培训。加强专业法官、助理及行政岗</w:t>
      </w:r>
      <w:r>
        <w:rPr>
          <w:rFonts w:hint="eastAsia"/>
          <w:lang w:eastAsia="zh-CN"/>
        </w:rPr>
        <w:t>位</w:t>
      </w:r>
      <w:r>
        <w:t>人员培训，提高本部门职工业务素质；加大宣传力度，强化预算绩效管理意识，促进预算绩效管理水平进一步提升。</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outlineLvl w:val="2"/>
        <w:rPr>
          <w:rFonts w:ascii="黑体" w:hAnsi="黑体" w:eastAsia="黑体" w:cs="黑体"/>
          <w:color w:val="000000"/>
          <w:sz w:val="32"/>
        </w:rPr>
      </w:pPr>
    </w:p>
    <w:p>
      <w:pPr>
        <w:numPr>
          <w:ilvl w:val="0"/>
          <w:numId w:val="0"/>
        </w:numPr>
        <w:spacing w:before="10" w:after="10" w:line="360" w:lineRule="auto"/>
        <w:ind w:firstLine="1280" w:firstLineChars="400"/>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1、2023年法院建设补助资金绩效目标表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13110023P00713210236N</w:t>
            </w:r>
          </w:p>
        </w:tc>
        <w:tc>
          <w:tcPr>
            <w:tcW w:w="2835" w:type="dxa"/>
            <w:vAlign w:val="center"/>
          </w:tcPr>
          <w:p>
            <w:pPr>
              <w:pStyle w:val="11"/>
            </w:pPr>
            <w:r>
              <w:t>项目名称</w:t>
            </w:r>
          </w:p>
        </w:tc>
        <w:tc>
          <w:tcPr>
            <w:tcW w:w="6094" w:type="dxa"/>
            <w:gridSpan w:val="3"/>
            <w:vAlign w:val="center"/>
          </w:tcPr>
          <w:p>
            <w:pPr>
              <w:pStyle w:val="13"/>
            </w:pPr>
            <w:r>
              <w:t>2023年法院建设补助资金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29.69</w:t>
            </w:r>
          </w:p>
        </w:tc>
        <w:tc>
          <w:tcPr>
            <w:tcW w:w="2835" w:type="dxa"/>
            <w:vAlign w:val="center"/>
          </w:tcPr>
          <w:p>
            <w:pPr>
              <w:pStyle w:val="11"/>
            </w:pPr>
            <w:r>
              <w:t>其中：财政    资金</w:t>
            </w:r>
          </w:p>
        </w:tc>
        <w:tc>
          <w:tcPr>
            <w:tcW w:w="2551" w:type="dxa"/>
            <w:vAlign w:val="center"/>
          </w:tcPr>
          <w:p>
            <w:pPr>
              <w:pStyle w:val="13"/>
            </w:pPr>
            <w:r>
              <w:t>29.69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该项目资金用于基层法庭维修及数字法庭、高速彩色多功能打印装订一体机、安检设备采购方面的支出。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1.为“两庭”建设提供充足的资金保障，以提高结案率。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 xml:space="preserve"> 综合事务管理工作完成率</w:t>
            </w:r>
          </w:p>
        </w:tc>
        <w:tc>
          <w:tcPr>
            <w:tcW w:w="2268" w:type="dxa"/>
            <w:vAlign w:val="center"/>
          </w:tcPr>
          <w:p>
            <w:pPr>
              <w:pStyle w:val="13"/>
            </w:pPr>
            <w:r>
              <w:t>≥98%</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结案率（%）</w:t>
            </w:r>
          </w:p>
        </w:tc>
        <w:tc>
          <w:tcPr>
            <w:tcW w:w="5386" w:type="dxa"/>
            <w:vAlign w:val="center"/>
          </w:tcPr>
          <w:p>
            <w:pPr>
              <w:pStyle w:val="13"/>
            </w:pPr>
            <w:r>
              <w:t xml:space="preserve"> 结案率（%）</w:t>
            </w:r>
          </w:p>
        </w:tc>
        <w:tc>
          <w:tcPr>
            <w:tcW w:w="2268" w:type="dxa"/>
            <w:vAlign w:val="center"/>
          </w:tcPr>
          <w:p>
            <w:pPr>
              <w:pStyle w:val="13"/>
            </w:pPr>
            <w:r>
              <w:t>≥98%</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预算控制数</w:t>
            </w:r>
          </w:p>
        </w:tc>
        <w:tc>
          <w:tcPr>
            <w:tcW w:w="5386" w:type="dxa"/>
            <w:vAlign w:val="center"/>
          </w:tcPr>
          <w:p>
            <w:pPr>
              <w:pStyle w:val="13"/>
            </w:pPr>
            <w:r>
              <w:t xml:space="preserve"> 预算控制数</w:t>
            </w:r>
          </w:p>
        </w:tc>
        <w:tc>
          <w:tcPr>
            <w:tcW w:w="2268" w:type="dxa"/>
            <w:vAlign w:val="center"/>
          </w:tcPr>
          <w:p>
            <w:pPr>
              <w:pStyle w:val="13"/>
            </w:pPr>
            <w:r>
              <w:t>100 %</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化解矛盾率(%)</w:t>
            </w:r>
          </w:p>
        </w:tc>
        <w:tc>
          <w:tcPr>
            <w:tcW w:w="5386" w:type="dxa"/>
            <w:vAlign w:val="center"/>
          </w:tcPr>
          <w:p>
            <w:pPr>
              <w:pStyle w:val="13"/>
            </w:pPr>
            <w:r>
              <w:t>化解矛盾率(%)</w:t>
            </w:r>
          </w:p>
        </w:tc>
        <w:tc>
          <w:tcPr>
            <w:tcW w:w="2268" w:type="dxa"/>
            <w:vAlign w:val="center"/>
          </w:tcPr>
          <w:p>
            <w:pPr>
              <w:pStyle w:val="13"/>
            </w:pPr>
            <w:r>
              <w:t>≥80 %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完成基层法庭业务用房维护率</w:t>
            </w:r>
          </w:p>
        </w:tc>
        <w:tc>
          <w:tcPr>
            <w:tcW w:w="5386" w:type="dxa"/>
            <w:vAlign w:val="center"/>
          </w:tcPr>
          <w:p>
            <w:pPr>
              <w:pStyle w:val="13"/>
            </w:pPr>
            <w:r>
              <w:t>完成基层法庭业务用房维护率</w:t>
            </w:r>
          </w:p>
        </w:tc>
        <w:tc>
          <w:tcPr>
            <w:tcW w:w="2268" w:type="dxa"/>
            <w:vAlign w:val="center"/>
          </w:tcPr>
          <w:p>
            <w:pPr>
              <w:pStyle w:val="13"/>
            </w:pPr>
            <w:r>
              <w:t>100%</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rPr>
                <w:rFonts w:hint="eastAsia" w:eastAsia="方正书宋_GBK"/>
                <w:lang w:eastAsia="zh-CN"/>
              </w:rPr>
            </w:pPr>
            <w:r>
              <w:t>保障业务工作顺利进行，为经济社会发展提供良好环境，维护社会稳定</w:t>
            </w:r>
            <w:r>
              <w:rPr>
                <w:rFonts w:hint="eastAsia"/>
                <w:lang w:eastAsia="zh-CN"/>
              </w:rPr>
              <w:t>。</w:t>
            </w:r>
          </w:p>
        </w:tc>
        <w:tc>
          <w:tcPr>
            <w:tcW w:w="2268" w:type="dxa"/>
            <w:vAlign w:val="center"/>
          </w:tcPr>
          <w:p>
            <w:pPr>
              <w:pStyle w:val="13"/>
            </w:pPr>
            <w:r>
              <w:t>≥80%</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≥90%</w:t>
            </w:r>
          </w:p>
        </w:tc>
        <w:tc>
          <w:tcPr>
            <w:tcW w:w="1276" w:type="dxa"/>
            <w:vAlign w:val="center"/>
          </w:tcPr>
          <w:p>
            <w:pPr>
              <w:pStyle w:val="13"/>
            </w:pPr>
            <w:r>
              <w:t xml:space="preserve"> 上级文件</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2、2023年省级基层公检法司转移支付资金绩效目标表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13110023P007132102353</w:t>
            </w:r>
          </w:p>
        </w:tc>
        <w:tc>
          <w:tcPr>
            <w:tcW w:w="2835" w:type="dxa"/>
            <w:vAlign w:val="center"/>
          </w:tcPr>
          <w:p>
            <w:pPr>
              <w:pStyle w:val="11"/>
            </w:pPr>
            <w:r>
              <w:t>项目名称</w:t>
            </w:r>
          </w:p>
        </w:tc>
        <w:tc>
          <w:tcPr>
            <w:tcW w:w="6094" w:type="dxa"/>
            <w:gridSpan w:val="3"/>
            <w:vAlign w:val="center"/>
          </w:tcPr>
          <w:p>
            <w:pPr>
              <w:pStyle w:val="13"/>
            </w:pPr>
            <w:r>
              <w:t>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18.12</w:t>
            </w:r>
          </w:p>
        </w:tc>
        <w:tc>
          <w:tcPr>
            <w:tcW w:w="2835" w:type="dxa"/>
            <w:vAlign w:val="center"/>
          </w:tcPr>
          <w:p>
            <w:pPr>
              <w:pStyle w:val="11"/>
            </w:pPr>
            <w:r>
              <w:t>其中：财政    资金</w:t>
            </w:r>
          </w:p>
        </w:tc>
        <w:tc>
          <w:tcPr>
            <w:tcW w:w="2551" w:type="dxa"/>
            <w:vAlign w:val="center"/>
          </w:tcPr>
          <w:p>
            <w:pPr>
              <w:pStyle w:val="13"/>
            </w:pPr>
            <w:r>
              <w:t>18.12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该项目用于执行部门办案业务和业务装备采购方面的支出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1.该项目资金保障执行案件正常结案，提高结案率到98%</w:t>
            </w:r>
          </w:p>
          <w:p>
            <w:pPr>
              <w:pStyle w:val="13"/>
            </w:pPr>
            <w:r>
              <w:t>2.加强社会稳定，限制失信被执行人的权利，提高全民信誉意识指数。</w:t>
            </w:r>
          </w:p>
          <w:p>
            <w:pPr>
              <w:pStyle w:val="13"/>
            </w:pPr>
            <w:r>
              <w:t>3.积极推进执行工作，切实保障群众合法权益，维护社会公平正义。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执结率</w:t>
            </w:r>
          </w:p>
        </w:tc>
        <w:tc>
          <w:tcPr>
            <w:tcW w:w="5386" w:type="dxa"/>
            <w:vAlign w:val="center"/>
          </w:tcPr>
          <w:p>
            <w:pPr>
              <w:pStyle w:val="13"/>
            </w:pPr>
            <w:r>
              <w:t xml:space="preserve"> 执行本院已经发生法律效力的法律文书和法律规定数量占应执行总量的比例</w:t>
            </w:r>
          </w:p>
        </w:tc>
        <w:tc>
          <w:tcPr>
            <w:tcW w:w="2268" w:type="dxa"/>
            <w:vAlign w:val="center"/>
          </w:tcPr>
          <w:p>
            <w:pPr>
              <w:pStyle w:val="13"/>
            </w:pPr>
            <w:r>
              <w:t>≥97%</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息诉罢访率（%）</w:t>
            </w:r>
          </w:p>
        </w:tc>
        <w:tc>
          <w:tcPr>
            <w:tcW w:w="5386" w:type="dxa"/>
            <w:vAlign w:val="center"/>
          </w:tcPr>
          <w:p>
            <w:pPr>
              <w:pStyle w:val="13"/>
            </w:pPr>
            <w:r>
              <w:t xml:space="preserve"> 息诉罢访率（%）</w:t>
            </w:r>
          </w:p>
        </w:tc>
        <w:tc>
          <w:tcPr>
            <w:tcW w:w="2268" w:type="dxa"/>
            <w:vAlign w:val="center"/>
          </w:tcPr>
          <w:p>
            <w:pPr>
              <w:pStyle w:val="13"/>
            </w:pPr>
            <w:r>
              <w:t>≥80 %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执行案件执结时间</w:t>
            </w:r>
          </w:p>
        </w:tc>
        <w:tc>
          <w:tcPr>
            <w:tcW w:w="5386" w:type="dxa"/>
            <w:vAlign w:val="center"/>
          </w:tcPr>
          <w:p>
            <w:pPr>
              <w:pStyle w:val="13"/>
            </w:pPr>
            <w:r>
              <w:t xml:space="preserve"> 提前执结时间</w:t>
            </w:r>
          </w:p>
        </w:tc>
        <w:tc>
          <w:tcPr>
            <w:tcW w:w="2268" w:type="dxa"/>
            <w:vAlign w:val="center"/>
          </w:tcPr>
          <w:p>
            <w:pPr>
              <w:pStyle w:val="13"/>
              <w:rPr>
                <w:rFonts w:hint="default" w:eastAsia="方正书宋_GBK"/>
                <w:lang w:val="en-US" w:eastAsia="zh-CN"/>
              </w:rPr>
            </w:pPr>
            <w:r>
              <w:rPr>
                <w:rFonts w:hint="eastAsia"/>
                <w:lang w:val="en-US" w:eastAsia="zh-CN"/>
              </w:rPr>
              <w:t>35天</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成本报价的准确性</w:t>
            </w:r>
          </w:p>
        </w:tc>
        <w:tc>
          <w:tcPr>
            <w:tcW w:w="5386" w:type="dxa"/>
            <w:vAlign w:val="center"/>
          </w:tcPr>
          <w:p>
            <w:pPr>
              <w:pStyle w:val="13"/>
            </w:pPr>
            <w:r>
              <w:t xml:space="preserve"> 成本报价的准确性</w:t>
            </w:r>
          </w:p>
        </w:tc>
        <w:tc>
          <w:tcPr>
            <w:tcW w:w="2268" w:type="dxa"/>
            <w:vAlign w:val="center"/>
          </w:tcPr>
          <w:p>
            <w:pPr>
              <w:pStyle w:val="13"/>
            </w:pPr>
            <w:r>
              <w:t>≥95 %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设备使用率（%）</w:t>
            </w:r>
          </w:p>
        </w:tc>
        <w:tc>
          <w:tcPr>
            <w:tcW w:w="5386" w:type="dxa"/>
            <w:vAlign w:val="center"/>
          </w:tcPr>
          <w:p>
            <w:pPr>
              <w:pStyle w:val="13"/>
            </w:pPr>
            <w:r>
              <w:t>设备使用率（%）</w:t>
            </w:r>
          </w:p>
        </w:tc>
        <w:tc>
          <w:tcPr>
            <w:tcW w:w="2268" w:type="dxa"/>
            <w:vAlign w:val="center"/>
          </w:tcPr>
          <w:p>
            <w:pPr>
              <w:pStyle w:val="13"/>
            </w:pPr>
            <w:r>
              <w:t>100 %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化解矛盾率（%）</w:t>
            </w:r>
          </w:p>
        </w:tc>
        <w:tc>
          <w:tcPr>
            <w:tcW w:w="5386" w:type="dxa"/>
            <w:vAlign w:val="center"/>
          </w:tcPr>
          <w:p>
            <w:pPr>
              <w:pStyle w:val="13"/>
            </w:pPr>
            <w:r>
              <w:t xml:space="preserve"> 化解矛盾率（%）</w:t>
            </w:r>
          </w:p>
        </w:tc>
        <w:tc>
          <w:tcPr>
            <w:tcW w:w="2268" w:type="dxa"/>
            <w:vAlign w:val="center"/>
          </w:tcPr>
          <w:p>
            <w:pPr>
              <w:pStyle w:val="13"/>
            </w:pPr>
            <w:r>
              <w:t xml:space="preserve">≥90 %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案件流程合规率（%）</w:t>
            </w:r>
          </w:p>
        </w:tc>
        <w:tc>
          <w:tcPr>
            <w:tcW w:w="5386" w:type="dxa"/>
            <w:vAlign w:val="center"/>
          </w:tcPr>
          <w:p>
            <w:pPr>
              <w:pStyle w:val="13"/>
            </w:pPr>
            <w:r>
              <w:t xml:space="preserve"> 案件流程合规率（%）</w:t>
            </w:r>
          </w:p>
        </w:tc>
        <w:tc>
          <w:tcPr>
            <w:tcW w:w="2268" w:type="dxa"/>
            <w:vAlign w:val="center"/>
          </w:tcPr>
          <w:p>
            <w:pPr>
              <w:pStyle w:val="13"/>
            </w:pPr>
            <w:r>
              <w:t>100 %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维护社会稳定</w:t>
            </w:r>
          </w:p>
        </w:tc>
        <w:tc>
          <w:tcPr>
            <w:tcW w:w="5386" w:type="dxa"/>
            <w:vAlign w:val="center"/>
          </w:tcPr>
          <w:p>
            <w:pPr>
              <w:pStyle w:val="13"/>
            </w:pPr>
            <w:r>
              <w:t xml:space="preserve"> 维护社会稳定</w:t>
            </w:r>
          </w:p>
        </w:tc>
        <w:tc>
          <w:tcPr>
            <w:tcW w:w="2268" w:type="dxa"/>
            <w:vAlign w:val="center"/>
          </w:tcPr>
          <w:p>
            <w:pPr>
              <w:pStyle w:val="13"/>
            </w:pPr>
            <w:r>
              <w:t>≥80 %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满意率</w:t>
            </w:r>
          </w:p>
        </w:tc>
        <w:tc>
          <w:tcPr>
            <w:tcW w:w="5386" w:type="dxa"/>
            <w:vAlign w:val="center"/>
          </w:tcPr>
          <w:p>
            <w:pPr>
              <w:pStyle w:val="13"/>
            </w:pPr>
            <w:r>
              <w:t xml:space="preserve"> 满意率</w:t>
            </w:r>
          </w:p>
        </w:tc>
        <w:tc>
          <w:tcPr>
            <w:tcW w:w="2268" w:type="dxa"/>
            <w:vAlign w:val="center"/>
          </w:tcPr>
          <w:p>
            <w:pPr>
              <w:pStyle w:val="13"/>
            </w:pPr>
            <w:r>
              <w:t>≥90 %</w:t>
            </w:r>
          </w:p>
        </w:tc>
        <w:tc>
          <w:tcPr>
            <w:tcW w:w="1276" w:type="dxa"/>
            <w:vAlign w:val="center"/>
          </w:tcPr>
          <w:p>
            <w:pPr>
              <w:pStyle w:val="13"/>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3、2023年中央政法纪检监察转移支付资金绩效目标表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13110023P00713210234F</w:t>
            </w:r>
          </w:p>
        </w:tc>
        <w:tc>
          <w:tcPr>
            <w:tcW w:w="2835" w:type="dxa"/>
            <w:vAlign w:val="center"/>
          </w:tcPr>
          <w:p>
            <w:pPr>
              <w:pStyle w:val="11"/>
            </w:pPr>
            <w:r>
              <w:t>项目名称</w:t>
            </w:r>
          </w:p>
        </w:tc>
        <w:tc>
          <w:tcPr>
            <w:tcW w:w="6094" w:type="dxa"/>
            <w:gridSpan w:val="3"/>
            <w:vAlign w:val="center"/>
          </w:tcPr>
          <w:p>
            <w:pPr>
              <w:pStyle w:val="13"/>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32.16</w:t>
            </w:r>
          </w:p>
        </w:tc>
        <w:tc>
          <w:tcPr>
            <w:tcW w:w="2835" w:type="dxa"/>
            <w:vAlign w:val="center"/>
          </w:tcPr>
          <w:p>
            <w:pPr>
              <w:pStyle w:val="11"/>
            </w:pPr>
            <w:r>
              <w:t>其中：财政    资金</w:t>
            </w:r>
          </w:p>
        </w:tc>
        <w:tc>
          <w:tcPr>
            <w:tcW w:w="2551" w:type="dxa"/>
            <w:vAlign w:val="center"/>
          </w:tcPr>
          <w:p>
            <w:pPr>
              <w:pStyle w:val="13"/>
            </w:pPr>
            <w:r>
              <w:t>32.16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该资金用于审判部门办案业务和业务装备方面的支出。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30%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为案件审判提供技术支撑，提高办案质量。</w:t>
            </w:r>
          </w:p>
          <w:p>
            <w:pPr>
              <w:pStyle w:val="13"/>
            </w:pPr>
            <w:r>
              <w:t>2.促进社会和谐，维护社会稳定。</w:t>
            </w:r>
          </w:p>
          <w:p>
            <w:pPr>
              <w:pStyle w:val="13"/>
            </w:pPr>
            <w:r>
              <w:t>3. 高质高效完成审判工作。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案件结案率（%）</w:t>
            </w:r>
          </w:p>
        </w:tc>
        <w:tc>
          <w:tcPr>
            <w:tcW w:w="5386" w:type="dxa"/>
            <w:vAlign w:val="center"/>
          </w:tcPr>
          <w:p>
            <w:pPr>
              <w:pStyle w:val="13"/>
            </w:pPr>
            <w:r>
              <w:t xml:space="preserve"> 案件结案率（%）</w:t>
            </w:r>
          </w:p>
        </w:tc>
        <w:tc>
          <w:tcPr>
            <w:tcW w:w="2268" w:type="dxa"/>
            <w:vAlign w:val="center"/>
          </w:tcPr>
          <w:p>
            <w:pPr>
              <w:pStyle w:val="13"/>
            </w:pPr>
            <w:r>
              <w:t>≥99 %</w:t>
            </w:r>
          </w:p>
        </w:tc>
        <w:tc>
          <w:tcPr>
            <w:tcW w:w="1276" w:type="dxa"/>
            <w:vAlign w:val="center"/>
          </w:tcPr>
          <w:p>
            <w:pPr>
              <w:pStyle w:val="13"/>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办案专款财政拨款专用情况</w:t>
            </w:r>
          </w:p>
        </w:tc>
        <w:tc>
          <w:tcPr>
            <w:tcW w:w="5386" w:type="dxa"/>
            <w:vAlign w:val="center"/>
          </w:tcPr>
          <w:p>
            <w:pPr>
              <w:pStyle w:val="13"/>
            </w:pPr>
            <w:r>
              <w:t xml:space="preserve"> 办案专款财政拨款专用情况</w:t>
            </w:r>
          </w:p>
        </w:tc>
        <w:tc>
          <w:tcPr>
            <w:tcW w:w="2268" w:type="dxa"/>
            <w:vAlign w:val="center"/>
          </w:tcPr>
          <w:p>
            <w:pPr>
              <w:pStyle w:val="13"/>
            </w:pPr>
            <w:r>
              <w:t>100 %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提前审限时间</w:t>
            </w:r>
          </w:p>
        </w:tc>
        <w:tc>
          <w:tcPr>
            <w:tcW w:w="5386" w:type="dxa"/>
            <w:vAlign w:val="center"/>
          </w:tcPr>
          <w:p>
            <w:pPr>
              <w:pStyle w:val="13"/>
            </w:pPr>
            <w:r>
              <w:t xml:space="preserve"> 提前审限时间</w:t>
            </w:r>
          </w:p>
        </w:tc>
        <w:tc>
          <w:tcPr>
            <w:tcW w:w="2268" w:type="dxa"/>
            <w:vAlign w:val="center"/>
          </w:tcPr>
          <w:p>
            <w:pPr>
              <w:pStyle w:val="13"/>
              <w:rPr>
                <w:rFonts w:hint="default" w:eastAsia="方正书宋_GBK"/>
                <w:lang w:val="en-US" w:eastAsia="zh-CN"/>
              </w:rPr>
            </w:pPr>
            <w:r>
              <w:rPr>
                <w:rFonts w:hint="eastAsia"/>
                <w:lang w:val="en-US" w:eastAsia="zh-CN"/>
              </w:rPr>
              <w:t>40天</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 xml:space="preserve"> 预算控制数</w:t>
            </w:r>
          </w:p>
        </w:tc>
        <w:tc>
          <w:tcPr>
            <w:tcW w:w="2268" w:type="dxa"/>
            <w:vAlign w:val="center"/>
          </w:tcPr>
          <w:p>
            <w:pPr>
              <w:pStyle w:val="13"/>
            </w:pPr>
            <w:r>
              <w:t>100 %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国有资产流失案件发生率</w:t>
            </w:r>
          </w:p>
        </w:tc>
        <w:tc>
          <w:tcPr>
            <w:tcW w:w="5386" w:type="dxa"/>
            <w:vAlign w:val="center"/>
          </w:tcPr>
          <w:p>
            <w:pPr>
              <w:pStyle w:val="13"/>
            </w:pPr>
            <w:r>
              <w:t xml:space="preserve"> 国有资产流失案件发生率</w:t>
            </w:r>
          </w:p>
        </w:tc>
        <w:tc>
          <w:tcPr>
            <w:tcW w:w="2268" w:type="dxa"/>
            <w:vAlign w:val="center"/>
          </w:tcPr>
          <w:p>
            <w:pPr>
              <w:pStyle w:val="13"/>
            </w:pPr>
            <w:r>
              <w:t>≤1 %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改判发回重审率（%）</w:t>
            </w:r>
          </w:p>
        </w:tc>
        <w:tc>
          <w:tcPr>
            <w:tcW w:w="5386" w:type="dxa"/>
            <w:vAlign w:val="center"/>
          </w:tcPr>
          <w:p>
            <w:pPr>
              <w:pStyle w:val="13"/>
            </w:pPr>
            <w:r>
              <w:t xml:space="preserve"> 改判发回重审率（%）</w:t>
            </w:r>
          </w:p>
        </w:tc>
        <w:tc>
          <w:tcPr>
            <w:tcW w:w="2268" w:type="dxa"/>
            <w:vAlign w:val="center"/>
          </w:tcPr>
          <w:p>
            <w:pPr>
              <w:pStyle w:val="13"/>
            </w:pPr>
            <w:r>
              <w:t>≤1 %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案件流程合规率（%）</w:t>
            </w:r>
          </w:p>
        </w:tc>
        <w:tc>
          <w:tcPr>
            <w:tcW w:w="5386" w:type="dxa"/>
            <w:vAlign w:val="center"/>
          </w:tcPr>
          <w:p>
            <w:pPr>
              <w:pStyle w:val="13"/>
            </w:pPr>
            <w:r>
              <w:t xml:space="preserve"> 案件流程合规率（%）</w:t>
            </w:r>
          </w:p>
        </w:tc>
        <w:tc>
          <w:tcPr>
            <w:tcW w:w="2268" w:type="dxa"/>
            <w:vAlign w:val="center"/>
          </w:tcPr>
          <w:p>
            <w:pPr>
              <w:pStyle w:val="13"/>
            </w:pPr>
            <w:r>
              <w:t>100 %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项目发挥作用情况</w:t>
            </w:r>
          </w:p>
        </w:tc>
        <w:tc>
          <w:tcPr>
            <w:tcW w:w="5386" w:type="dxa"/>
            <w:vAlign w:val="center"/>
          </w:tcPr>
          <w:p>
            <w:pPr>
              <w:pStyle w:val="13"/>
            </w:pPr>
            <w:r>
              <w:t xml:space="preserve"> 项目发挥作用情况</w:t>
            </w:r>
          </w:p>
        </w:tc>
        <w:tc>
          <w:tcPr>
            <w:tcW w:w="2268" w:type="dxa"/>
            <w:vAlign w:val="center"/>
          </w:tcPr>
          <w:p>
            <w:pPr>
              <w:pStyle w:val="13"/>
            </w:pPr>
            <w:r>
              <w:t>90 %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满意率</w:t>
            </w:r>
          </w:p>
        </w:tc>
        <w:tc>
          <w:tcPr>
            <w:tcW w:w="5386" w:type="dxa"/>
            <w:vAlign w:val="center"/>
          </w:tcPr>
          <w:p>
            <w:pPr>
              <w:pStyle w:val="13"/>
            </w:pPr>
            <w:r>
              <w:t xml:space="preserve"> 满意率</w:t>
            </w:r>
          </w:p>
        </w:tc>
        <w:tc>
          <w:tcPr>
            <w:tcW w:w="2268" w:type="dxa"/>
            <w:vAlign w:val="center"/>
          </w:tcPr>
          <w:p>
            <w:pPr>
              <w:pStyle w:val="13"/>
            </w:pPr>
            <w:r>
              <w:t>90 %</w:t>
            </w:r>
          </w:p>
        </w:tc>
        <w:tc>
          <w:tcPr>
            <w:tcW w:w="1276" w:type="dxa"/>
            <w:vAlign w:val="center"/>
          </w:tcPr>
          <w:p>
            <w:pPr>
              <w:pStyle w:val="13"/>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4、2023年中央政法纪检监察转移支付资金第二批绩效目标表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13110023P007132102810</w:t>
            </w:r>
          </w:p>
        </w:tc>
        <w:tc>
          <w:tcPr>
            <w:tcW w:w="2835" w:type="dxa"/>
            <w:vAlign w:val="center"/>
          </w:tcPr>
          <w:p>
            <w:pPr>
              <w:pStyle w:val="11"/>
            </w:pPr>
            <w:r>
              <w:t>项目名称</w:t>
            </w:r>
          </w:p>
        </w:tc>
        <w:tc>
          <w:tcPr>
            <w:tcW w:w="6094" w:type="dxa"/>
            <w:gridSpan w:val="3"/>
            <w:vAlign w:val="center"/>
          </w:tcPr>
          <w:p>
            <w:pPr>
              <w:pStyle w:val="13"/>
            </w:pPr>
            <w:r>
              <w:t>2023年中央政法纪检监察转移支付资金第二批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0.42</w:t>
            </w:r>
          </w:p>
        </w:tc>
        <w:tc>
          <w:tcPr>
            <w:tcW w:w="2835" w:type="dxa"/>
            <w:vAlign w:val="center"/>
          </w:tcPr>
          <w:p>
            <w:pPr>
              <w:pStyle w:val="11"/>
            </w:pPr>
            <w:r>
              <w:t>其中：财政    资金</w:t>
            </w:r>
          </w:p>
        </w:tc>
        <w:tc>
          <w:tcPr>
            <w:tcW w:w="2551" w:type="dxa"/>
            <w:vAlign w:val="center"/>
          </w:tcPr>
          <w:p>
            <w:pPr>
              <w:pStyle w:val="13"/>
            </w:pPr>
            <w:r>
              <w:t>0.42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该资金用于保障审判业务顺利开展。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为数据安全提供可靠的保障，使得案件审判拥有更好的技术支撑。</w:t>
            </w:r>
          </w:p>
          <w:p>
            <w:pPr>
              <w:pStyle w:val="13"/>
            </w:pPr>
            <w:r>
              <w:t>2.高质高效</w:t>
            </w:r>
            <w:r>
              <w:rPr>
                <w:rFonts w:hint="eastAsia"/>
                <w:lang w:eastAsia="zh-CN"/>
              </w:rPr>
              <w:t>地</w:t>
            </w:r>
            <w:r>
              <w:t>完成审判工作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业务装备配备数量</w:t>
            </w:r>
          </w:p>
        </w:tc>
        <w:tc>
          <w:tcPr>
            <w:tcW w:w="5386" w:type="dxa"/>
            <w:vAlign w:val="center"/>
          </w:tcPr>
          <w:p>
            <w:pPr>
              <w:pStyle w:val="13"/>
            </w:pPr>
            <w:r>
              <w:t xml:space="preserve"> 审判业务装备配备数量</w:t>
            </w:r>
          </w:p>
        </w:tc>
        <w:tc>
          <w:tcPr>
            <w:tcW w:w="2268" w:type="dxa"/>
            <w:vAlign w:val="center"/>
          </w:tcPr>
          <w:p>
            <w:pPr>
              <w:pStyle w:val="13"/>
            </w:pPr>
            <w:r>
              <w:t>≥60 %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案件办结率</w:t>
            </w:r>
          </w:p>
        </w:tc>
        <w:tc>
          <w:tcPr>
            <w:tcW w:w="5386" w:type="dxa"/>
            <w:vAlign w:val="center"/>
          </w:tcPr>
          <w:p>
            <w:pPr>
              <w:pStyle w:val="13"/>
            </w:pPr>
            <w:r>
              <w:t xml:space="preserve"> 案件办结率</w:t>
            </w:r>
          </w:p>
        </w:tc>
        <w:tc>
          <w:tcPr>
            <w:tcW w:w="2268" w:type="dxa"/>
            <w:vAlign w:val="center"/>
          </w:tcPr>
          <w:p>
            <w:pPr>
              <w:pStyle w:val="13"/>
            </w:pPr>
            <w:r>
              <w:t>≥99%</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提前审限时间</w:t>
            </w:r>
          </w:p>
        </w:tc>
        <w:tc>
          <w:tcPr>
            <w:tcW w:w="5386" w:type="dxa"/>
            <w:vAlign w:val="center"/>
          </w:tcPr>
          <w:p>
            <w:pPr>
              <w:pStyle w:val="13"/>
            </w:pPr>
            <w:r>
              <w:t xml:space="preserve"> 提前审限时间</w:t>
            </w:r>
          </w:p>
        </w:tc>
        <w:tc>
          <w:tcPr>
            <w:tcW w:w="2268" w:type="dxa"/>
            <w:vAlign w:val="center"/>
          </w:tcPr>
          <w:p>
            <w:pPr>
              <w:pStyle w:val="13"/>
              <w:rPr>
                <w:rFonts w:hint="default" w:eastAsia="方正书宋_GBK"/>
                <w:lang w:val="en-US" w:eastAsia="zh-CN"/>
              </w:rPr>
            </w:pPr>
            <w:r>
              <w:rPr>
                <w:rFonts w:hint="eastAsia"/>
                <w:lang w:val="en-US" w:eastAsia="zh-CN"/>
              </w:rPr>
              <w:t>40天</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预算控制数</w:t>
            </w:r>
          </w:p>
        </w:tc>
        <w:tc>
          <w:tcPr>
            <w:tcW w:w="5386" w:type="dxa"/>
            <w:vAlign w:val="center"/>
          </w:tcPr>
          <w:p>
            <w:pPr>
              <w:pStyle w:val="13"/>
            </w:pPr>
            <w:r>
              <w:t xml:space="preserve"> 预算控制数</w:t>
            </w:r>
          </w:p>
        </w:tc>
        <w:tc>
          <w:tcPr>
            <w:tcW w:w="2268" w:type="dxa"/>
            <w:vAlign w:val="center"/>
          </w:tcPr>
          <w:p>
            <w:pPr>
              <w:pStyle w:val="13"/>
            </w:pPr>
            <w:r>
              <w:t>100 %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项目工程完成情况</w:t>
            </w:r>
          </w:p>
        </w:tc>
        <w:tc>
          <w:tcPr>
            <w:tcW w:w="5386" w:type="dxa"/>
            <w:vAlign w:val="center"/>
          </w:tcPr>
          <w:p>
            <w:pPr>
              <w:pStyle w:val="13"/>
            </w:pPr>
            <w:r>
              <w:t>项目工程完成情况</w:t>
            </w:r>
          </w:p>
        </w:tc>
        <w:tc>
          <w:tcPr>
            <w:tcW w:w="2268" w:type="dxa"/>
            <w:vAlign w:val="center"/>
          </w:tcPr>
          <w:p>
            <w:pPr>
              <w:pStyle w:val="13"/>
            </w:pPr>
            <w:r>
              <w:t>100 %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化解矛盾率(%)</w:t>
            </w:r>
          </w:p>
        </w:tc>
        <w:tc>
          <w:tcPr>
            <w:tcW w:w="5386" w:type="dxa"/>
            <w:vAlign w:val="center"/>
          </w:tcPr>
          <w:p>
            <w:pPr>
              <w:pStyle w:val="13"/>
            </w:pPr>
            <w:r>
              <w:t>化解矛盾率(%)</w:t>
            </w:r>
          </w:p>
        </w:tc>
        <w:tc>
          <w:tcPr>
            <w:tcW w:w="2268" w:type="dxa"/>
            <w:vAlign w:val="center"/>
          </w:tcPr>
          <w:p>
            <w:pPr>
              <w:pStyle w:val="13"/>
            </w:pPr>
            <w:r>
              <w:t>≥80 %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业务装备经费保障力度持续加强</w:t>
            </w:r>
          </w:p>
        </w:tc>
        <w:tc>
          <w:tcPr>
            <w:tcW w:w="5386" w:type="dxa"/>
            <w:vAlign w:val="center"/>
          </w:tcPr>
          <w:p>
            <w:pPr>
              <w:pStyle w:val="13"/>
            </w:pPr>
            <w:r>
              <w:t xml:space="preserve"> 业务装备经费保障力度持续加强</w:t>
            </w:r>
          </w:p>
        </w:tc>
        <w:tc>
          <w:tcPr>
            <w:tcW w:w="2268" w:type="dxa"/>
            <w:vAlign w:val="center"/>
          </w:tcPr>
          <w:p>
            <w:pPr>
              <w:pStyle w:val="13"/>
            </w:pPr>
            <w:r>
              <w:t>≥1 %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项目发挥作用情况</w:t>
            </w:r>
          </w:p>
        </w:tc>
        <w:tc>
          <w:tcPr>
            <w:tcW w:w="5386" w:type="dxa"/>
            <w:vAlign w:val="center"/>
          </w:tcPr>
          <w:p>
            <w:pPr>
              <w:pStyle w:val="13"/>
            </w:pPr>
            <w:r>
              <w:t xml:space="preserve"> 项目发挥作用情况</w:t>
            </w:r>
          </w:p>
        </w:tc>
        <w:tc>
          <w:tcPr>
            <w:tcW w:w="2268" w:type="dxa"/>
            <w:vAlign w:val="center"/>
          </w:tcPr>
          <w:p>
            <w:pPr>
              <w:pStyle w:val="13"/>
            </w:pPr>
            <w:r>
              <w:t>90 %</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满意率</w:t>
            </w:r>
          </w:p>
        </w:tc>
        <w:tc>
          <w:tcPr>
            <w:tcW w:w="5386" w:type="dxa"/>
            <w:vAlign w:val="center"/>
          </w:tcPr>
          <w:p>
            <w:pPr>
              <w:pStyle w:val="13"/>
            </w:pPr>
            <w:r>
              <w:t xml:space="preserve"> 满意率</w:t>
            </w:r>
          </w:p>
        </w:tc>
        <w:tc>
          <w:tcPr>
            <w:tcW w:w="2268" w:type="dxa"/>
            <w:vAlign w:val="center"/>
          </w:tcPr>
          <w:p>
            <w:pPr>
              <w:pStyle w:val="13"/>
            </w:pPr>
            <w:r>
              <w:t>90 %</w:t>
            </w:r>
          </w:p>
        </w:tc>
        <w:tc>
          <w:tcPr>
            <w:tcW w:w="1276" w:type="dxa"/>
            <w:vAlign w:val="center"/>
          </w:tcPr>
          <w:p>
            <w:pPr>
              <w:pStyle w:val="13"/>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5、定补社保退休人员统筹外资金绩效目标表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13110024P00713210433W</w:t>
            </w:r>
          </w:p>
        </w:tc>
        <w:tc>
          <w:tcPr>
            <w:tcW w:w="2835" w:type="dxa"/>
            <w:vAlign w:val="center"/>
          </w:tcPr>
          <w:p>
            <w:pPr>
              <w:pStyle w:val="11"/>
            </w:pPr>
            <w:r>
              <w:t>项目名称</w:t>
            </w:r>
          </w:p>
        </w:tc>
        <w:tc>
          <w:tcPr>
            <w:tcW w:w="6094" w:type="dxa"/>
            <w:gridSpan w:val="3"/>
            <w:vAlign w:val="center"/>
          </w:tcPr>
          <w:p>
            <w:pPr>
              <w:pStyle w:val="13"/>
            </w:pPr>
            <w:r>
              <w:t>定补社保退休人员统筹外资金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w:t>
            </w:r>
          </w:p>
        </w:tc>
        <w:tc>
          <w:tcPr>
            <w:tcW w:w="2835" w:type="dxa"/>
            <w:vAlign w:val="center"/>
          </w:tcPr>
          <w:p>
            <w:pPr>
              <w:pStyle w:val="11"/>
            </w:pPr>
            <w:r>
              <w:t>其中：财政    资金</w:t>
            </w:r>
          </w:p>
        </w:tc>
        <w:tc>
          <w:tcPr>
            <w:tcW w:w="2551" w:type="dxa"/>
            <w:vAlign w:val="center"/>
          </w:tcPr>
          <w:p>
            <w:pPr>
              <w:pStyle w:val="13"/>
            </w:pPr>
            <w:r>
              <w:t>2.91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该资金用于发放定补社保退休人员退休费。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40%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该资金用于落实退休人员月度生活补贴、取暖费、一次生活补贴等待遇。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服务人数</w:t>
            </w:r>
          </w:p>
        </w:tc>
        <w:tc>
          <w:tcPr>
            <w:tcW w:w="5386" w:type="dxa"/>
            <w:vAlign w:val="center"/>
          </w:tcPr>
          <w:p>
            <w:pPr>
              <w:pStyle w:val="13"/>
            </w:pPr>
            <w:r>
              <w:t xml:space="preserve"> 服务人数</w:t>
            </w:r>
          </w:p>
        </w:tc>
        <w:tc>
          <w:tcPr>
            <w:tcW w:w="2268" w:type="dxa"/>
            <w:vAlign w:val="center"/>
          </w:tcPr>
          <w:p>
            <w:pPr>
              <w:pStyle w:val="13"/>
            </w:pPr>
            <w:r>
              <w:t>1 人</w:t>
            </w:r>
          </w:p>
        </w:tc>
        <w:tc>
          <w:tcPr>
            <w:tcW w:w="1276" w:type="dxa"/>
            <w:vAlign w:val="center"/>
          </w:tcPr>
          <w:p>
            <w:pPr>
              <w:pStyle w:val="13"/>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财政拨款保障率</w:t>
            </w:r>
          </w:p>
        </w:tc>
        <w:tc>
          <w:tcPr>
            <w:tcW w:w="5386" w:type="dxa"/>
            <w:vAlign w:val="center"/>
          </w:tcPr>
          <w:p>
            <w:pPr>
              <w:pStyle w:val="13"/>
            </w:pPr>
            <w:r>
              <w:t xml:space="preserve"> 市级财政拨款标准占预算数的比例</w:t>
            </w:r>
          </w:p>
        </w:tc>
        <w:tc>
          <w:tcPr>
            <w:tcW w:w="2268" w:type="dxa"/>
            <w:vAlign w:val="center"/>
          </w:tcPr>
          <w:p>
            <w:pPr>
              <w:pStyle w:val="13"/>
            </w:pPr>
            <w:r>
              <w:t>100 百分比</w:t>
            </w:r>
          </w:p>
        </w:tc>
        <w:tc>
          <w:tcPr>
            <w:tcW w:w="1276" w:type="dxa"/>
            <w:vAlign w:val="center"/>
          </w:tcPr>
          <w:p>
            <w:pPr>
              <w:pStyle w:val="13"/>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拨款及时性</w:t>
            </w:r>
          </w:p>
        </w:tc>
        <w:tc>
          <w:tcPr>
            <w:tcW w:w="5386" w:type="dxa"/>
            <w:vAlign w:val="center"/>
          </w:tcPr>
          <w:p>
            <w:pPr>
              <w:pStyle w:val="13"/>
            </w:pPr>
            <w:r>
              <w:t xml:space="preserve"> 拨款及时性</w:t>
            </w:r>
          </w:p>
        </w:tc>
        <w:tc>
          <w:tcPr>
            <w:tcW w:w="2268" w:type="dxa"/>
            <w:vAlign w:val="center"/>
          </w:tcPr>
          <w:p>
            <w:pPr>
              <w:pStyle w:val="13"/>
            </w:pPr>
            <w:r>
              <w:t>100 百分比</w:t>
            </w:r>
          </w:p>
        </w:tc>
        <w:tc>
          <w:tcPr>
            <w:tcW w:w="1276" w:type="dxa"/>
            <w:vAlign w:val="center"/>
          </w:tcPr>
          <w:p>
            <w:pPr>
              <w:pStyle w:val="13"/>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项目预算控制数</w:t>
            </w:r>
          </w:p>
        </w:tc>
        <w:tc>
          <w:tcPr>
            <w:tcW w:w="5386" w:type="dxa"/>
            <w:vAlign w:val="center"/>
          </w:tcPr>
          <w:p>
            <w:pPr>
              <w:pStyle w:val="13"/>
            </w:pPr>
            <w:r>
              <w:t xml:space="preserve"> 项目预算控制数</w:t>
            </w:r>
          </w:p>
        </w:tc>
        <w:tc>
          <w:tcPr>
            <w:tcW w:w="2268" w:type="dxa"/>
            <w:vAlign w:val="center"/>
          </w:tcPr>
          <w:p>
            <w:pPr>
              <w:pStyle w:val="13"/>
            </w:pPr>
            <w:r>
              <w:t>≤2.92 万元</w:t>
            </w:r>
          </w:p>
        </w:tc>
        <w:tc>
          <w:tcPr>
            <w:tcW w:w="1276" w:type="dxa"/>
            <w:vAlign w:val="center"/>
          </w:tcPr>
          <w:p>
            <w:pPr>
              <w:pStyle w:val="13"/>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资金的使用效率</w:t>
            </w:r>
          </w:p>
        </w:tc>
        <w:tc>
          <w:tcPr>
            <w:tcW w:w="5386" w:type="dxa"/>
            <w:vAlign w:val="center"/>
          </w:tcPr>
          <w:p>
            <w:pPr>
              <w:pStyle w:val="13"/>
            </w:pPr>
            <w:r>
              <w:t>资金的使用效率</w:t>
            </w:r>
          </w:p>
        </w:tc>
        <w:tc>
          <w:tcPr>
            <w:tcW w:w="2268" w:type="dxa"/>
            <w:vAlign w:val="center"/>
          </w:tcPr>
          <w:p>
            <w:pPr>
              <w:pStyle w:val="13"/>
            </w:pPr>
            <w:r>
              <w:t>100 百分比</w:t>
            </w:r>
          </w:p>
        </w:tc>
        <w:tc>
          <w:tcPr>
            <w:tcW w:w="1276" w:type="dxa"/>
            <w:vAlign w:val="center"/>
          </w:tcPr>
          <w:p>
            <w:pPr>
              <w:pStyle w:val="13"/>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社会影响力</w:t>
            </w:r>
          </w:p>
        </w:tc>
        <w:tc>
          <w:tcPr>
            <w:tcW w:w="5386" w:type="dxa"/>
            <w:vAlign w:val="center"/>
          </w:tcPr>
          <w:p>
            <w:pPr>
              <w:pStyle w:val="13"/>
            </w:pPr>
            <w:r>
              <w:t xml:space="preserve"> 社会影响力</w:t>
            </w:r>
          </w:p>
        </w:tc>
        <w:tc>
          <w:tcPr>
            <w:tcW w:w="2268" w:type="dxa"/>
            <w:vAlign w:val="center"/>
          </w:tcPr>
          <w:p>
            <w:pPr>
              <w:pStyle w:val="13"/>
            </w:pPr>
            <w:r>
              <w:t>社会保障服务水平</w:t>
            </w:r>
          </w:p>
        </w:tc>
        <w:tc>
          <w:tcPr>
            <w:tcW w:w="1276" w:type="dxa"/>
            <w:vAlign w:val="center"/>
          </w:tcPr>
          <w:p>
            <w:pPr>
              <w:pStyle w:val="13"/>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维护社会稳定</w:t>
            </w:r>
          </w:p>
        </w:tc>
        <w:tc>
          <w:tcPr>
            <w:tcW w:w="5386" w:type="dxa"/>
            <w:vAlign w:val="center"/>
          </w:tcPr>
          <w:p>
            <w:pPr>
              <w:pStyle w:val="13"/>
            </w:pPr>
            <w:r>
              <w:t xml:space="preserve"> 维护社会稳定</w:t>
            </w:r>
          </w:p>
        </w:tc>
        <w:tc>
          <w:tcPr>
            <w:tcW w:w="2268" w:type="dxa"/>
            <w:vAlign w:val="center"/>
          </w:tcPr>
          <w:p>
            <w:pPr>
              <w:pStyle w:val="13"/>
            </w:pPr>
            <w:r>
              <w:t>100 百分比</w:t>
            </w:r>
          </w:p>
        </w:tc>
        <w:tc>
          <w:tcPr>
            <w:tcW w:w="1276" w:type="dxa"/>
            <w:vAlign w:val="center"/>
          </w:tcPr>
          <w:p>
            <w:pPr>
              <w:pStyle w:val="13"/>
            </w:pPr>
            <w:r>
              <w:t xml:space="preserve"> 县级批件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服务对象满意度</w:t>
            </w:r>
          </w:p>
        </w:tc>
        <w:tc>
          <w:tcPr>
            <w:tcW w:w="2268" w:type="dxa"/>
            <w:vAlign w:val="center"/>
          </w:tcPr>
          <w:p>
            <w:pPr>
              <w:pStyle w:val="13"/>
            </w:pPr>
            <w:r>
              <w:t>100 百分比</w:t>
            </w:r>
          </w:p>
        </w:tc>
        <w:tc>
          <w:tcPr>
            <w:tcW w:w="1276" w:type="dxa"/>
            <w:vAlign w:val="center"/>
          </w:tcPr>
          <w:p>
            <w:pPr>
              <w:pStyle w:val="13"/>
            </w:pPr>
            <w:r>
              <w:t xml:space="preserve"> 县级批件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13110024P007132104302</w:t>
            </w:r>
          </w:p>
        </w:tc>
        <w:tc>
          <w:tcPr>
            <w:tcW w:w="2835" w:type="dxa"/>
            <w:vAlign w:val="center"/>
          </w:tcPr>
          <w:p>
            <w:pPr>
              <w:pStyle w:val="11"/>
            </w:pPr>
            <w:r>
              <w:t>项目名称</w:t>
            </w:r>
          </w:p>
        </w:tc>
        <w:tc>
          <w:tcPr>
            <w:tcW w:w="6094" w:type="dxa"/>
            <w:gridSpan w:val="3"/>
            <w:vAlign w:val="center"/>
          </w:tcPr>
          <w:p>
            <w:pPr>
              <w:pStyle w:val="13"/>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100.30</w:t>
            </w:r>
          </w:p>
        </w:tc>
        <w:tc>
          <w:tcPr>
            <w:tcW w:w="2835" w:type="dxa"/>
            <w:vAlign w:val="center"/>
          </w:tcPr>
          <w:p>
            <w:pPr>
              <w:pStyle w:val="11"/>
            </w:pPr>
            <w:r>
              <w:t>其中：财政    资金</w:t>
            </w:r>
          </w:p>
        </w:tc>
        <w:tc>
          <w:tcPr>
            <w:tcW w:w="2551" w:type="dxa"/>
            <w:vAlign w:val="center"/>
          </w:tcPr>
          <w:p>
            <w:pPr>
              <w:pStyle w:val="13"/>
            </w:pPr>
            <w:r>
              <w:t>100.30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该项目资金用于发放劳务派遣人员工资、缴纳保险方面的支出。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保障劳务派遣人员薪酬待遇，维护社会稳定。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服务人数</w:t>
            </w:r>
          </w:p>
        </w:tc>
        <w:tc>
          <w:tcPr>
            <w:tcW w:w="5386" w:type="dxa"/>
            <w:vAlign w:val="center"/>
          </w:tcPr>
          <w:p>
            <w:pPr>
              <w:pStyle w:val="13"/>
            </w:pPr>
            <w:r>
              <w:t xml:space="preserve"> 服务人数</w:t>
            </w:r>
          </w:p>
        </w:tc>
        <w:tc>
          <w:tcPr>
            <w:tcW w:w="2268" w:type="dxa"/>
            <w:vAlign w:val="center"/>
          </w:tcPr>
          <w:p>
            <w:pPr>
              <w:pStyle w:val="13"/>
            </w:pPr>
            <w:r>
              <w:t>24人</w:t>
            </w:r>
          </w:p>
        </w:tc>
        <w:tc>
          <w:tcPr>
            <w:tcW w:w="1276" w:type="dxa"/>
            <w:vAlign w:val="center"/>
          </w:tcPr>
          <w:p>
            <w:pPr>
              <w:pStyle w:val="13"/>
            </w:pPr>
            <w:r>
              <w:t>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业务工作完成率</w:t>
            </w:r>
          </w:p>
        </w:tc>
        <w:tc>
          <w:tcPr>
            <w:tcW w:w="5386" w:type="dxa"/>
            <w:vAlign w:val="center"/>
          </w:tcPr>
          <w:p>
            <w:pPr>
              <w:pStyle w:val="13"/>
            </w:pPr>
            <w:r>
              <w:t>业务工作完成率（%）</w:t>
            </w:r>
          </w:p>
        </w:tc>
        <w:tc>
          <w:tcPr>
            <w:tcW w:w="2268" w:type="dxa"/>
            <w:vAlign w:val="center"/>
          </w:tcPr>
          <w:p>
            <w:pPr>
              <w:pStyle w:val="13"/>
            </w:pPr>
            <w:r>
              <w:t>100百分比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完成工作及时率</w:t>
            </w:r>
          </w:p>
        </w:tc>
        <w:tc>
          <w:tcPr>
            <w:tcW w:w="5386" w:type="dxa"/>
            <w:vAlign w:val="center"/>
          </w:tcPr>
          <w:p>
            <w:pPr>
              <w:pStyle w:val="13"/>
            </w:pPr>
            <w:r>
              <w:t xml:space="preserve"> 完成工作及时率</w:t>
            </w:r>
          </w:p>
        </w:tc>
        <w:tc>
          <w:tcPr>
            <w:tcW w:w="2268" w:type="dxa"/>
            <w:vAlign w:val="center"/>
          </w:tcPr>
          <w:p>
            <w:pPr>
              <w:pStyle w:val="13"/>
            </w:pPr>
            <w:r>
              <w:t>100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预算控制数</w:t>
            </w:r>
          </w:p>
        </w:tc>
        <w:tc>
          <w:tcPr>
            <w:tcW w:w="5386" w:type="dxa"/>
            <w:vAlign w:val="center"/>
          </w:tcPr>
          <w:p>
            <w:pPr>
              <w:pStyle w:val="13"/>
            </w:pPr>
            <w:r>
              <w:t xml:space="preserve"> 预算控制数</w:t>
            </w:r>
          </w:p>
        </w:tc>
        <w:tc>
          <w:tcPr>
            <w:tcW w:w="2268" w:type="dxa"/>
            <w:vAlign w:val="center"/>
          </w:tcPr>
          <w:p>
            <w:pPr>
              <w:pStyle w:val="13"/>
            </w:pPr>
            <w:r>
              <w:t>≤100.3万元</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资金的使用效率</w:t>
            </w:r>
          </w:p>
        </w:tc>
        <w:tc>
          <w:tcPr>
            <w:tcW w:w="5386" w:type="dxa"/>
            <w:vAlign w:val="center"/>
          </w:tcPr>
          <w:p>
            <w:pPr>
              <w:pStyle w:val="13"/>
            </w:pPr>
            <w:r>
              <w:t xml:space="preserve"> 资金的使用效率</w:t>
            </w:r>
          </w:p>
        </w:tc>
        <w:tc>
          <w:tcPr>
            <w:tcW w:w="2268" w:type="dxa"/>
            <w:vAlign w:val="center"/>
          </w:tcPr>
          <w:p>
            <w:pPr>
              <w:pStyle w:val="13"/>
            </w:pPr>
            <w:r>
              <w:t>≥95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社保费征缴率</w:t>
            </w:r>
          </w:p>
        </w:tc>
        <w:tc>
          <w:tcPr>
            <w:tcW w:w="5386" w:type="dxa"/>
            <w:vAlign w:val="center"/>
          </w:tcPr>
          <w:p>
            <w:pPr>
              <w:pStyle w:val="13"/>
            </w:pPr>
            <w:r>
              <w:t>社保费征缴率</w:t>
            </w:r>
          </w:p>
        </w:tc>
        <w:tc>
          <w:tcPr>
            <w:tcW w:w="2268" w:type="dxa"/>
            <w:vAlign w:val="center"/>
          </w:tcPr>
          <w:p>
            <w:pPr>
              <w:pStyle w:val="13"/>
            </w:pPr>
            <w:r>
              <w:t>100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化解矛盾率（%）</w:t>
            </w:r>
          </w:p>
        </w:tc>
        <w:tc>
          <w:tcPr>
            <w:tcW w:w="5386" w:type="dxa"/>
            <w:vAlign w:val="center"/>
          </w:tcPr>
          <w:p>
            <w:pPr>
              <w:pStyle w:val="13"/>
            </w:pPr>
            <w:r>
              <w:t xml:space="preserve"> 化解矛盾率（%）</w:t>
            </w:r>
          </w:p>
        </w:tc>
        <w:tc>
          <w:tcPr>
            <w:tcW w:w="2268" w:type="dxa"/>
            <w:vAlign w:val="center"/>
          </w:tcPr>
          <w:p>
            <w:pPr>
              <w:pStyle w:val="13"/>
            </w:pPr>
            <w:r>
              <w:t>≥95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增加影响力</w:t>
            </w:r>
          </w:p>
        </w:tc>
        <w:tc>
          <w:tcPr>
            <w:tcW w:w="5386" w:type="dxa"/>
            <w:vAlign w:val="center"/>
          </w:tcPr>
          <w:p>
            <w:pPr>
              <w:pStyle w:val="13"/>
            </w:pPr>
            <w:r>
              <w:t xml:space="preserve"> 增强影响力</w:t>
            </w:r>
          </w:p>
        </w:tc>
        <w:tc>
          <w:tcPr>
            <w:tcW w:w="2268" w:type="dxa"/>
            <w:vAlign w:val="center"/>
          </w:tcPr>
          <w:p>
            <w:pPr>
              <w:pStyle w:val="13"/>
            </w:pPr>
            <w:r>
              <w:t>≥95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服务对象满意度</w:t>
            </w:r>
          </w:p>
        </w:tc>
        <w:tc>
          <w:tcPr>
            <w:tcW w:w="2268" w:type="dxa"/>
            <w:vAlign w:val="center"/>
          </w:tcPr>
          <w:p>
            <w:pPr>
              <w:pStyle w:val="13"/>
            </w:pPr>
            <w:r>
              <w:t>≥90 百分比</w:t>
            </w:r>
          </w:p>
        </w:tc>
        <w:tc>
          <w:tcPr>
            <w:tcW w:w="1276" w:type="dxa"/>
            <w:vAlign w:val="center"/>
          </w:tcPr>
          <w:p>
            <w:pPr>
              <w:pStyle w:val="13"/>
            </w:pPr>
            <w:r>
              <w:t xml:space="preserve"> 合同、市级文件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7、聘任制书记员人员经费绩效目标表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13110024P007132104329</w:t>
            </w:r>
          </w:p>
        </w:tc>
        <w:tc>
          <w:tcPr>
            <w:tcW w:w="2835" w:type="dxa"/>
            <w:vAlign w:val="center"/>
          </w:tcPr>
          <w:p>
            <w:pPr>
              <w:pStyle w:val="11"/>
            </w:pPr>
            <w:r>
              <w:t>项目名称</w:t>
            </w:r>
          </w:p>
        </w:tc>
        <w:tc>
          <w:tcPr>
            <w:tcW w:w="6094" w:type="dxa"/>
            <w:gridSpan w:val="3"/>
            <w:vAlign w:val="center"/>
          </w:tcPr>
          <w:p>
            <w:pPr>
              <w:pStyle w:val="13"/>
            </w:pPr>
            <w:r>
              <w:t>聘任制书记员人员经费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105.50</w:t>
            </w:r>
          </w:p>
        </w:tc>
        <w:tc>
          <w:tcPr>
            <w:tcW w:w="2835" w:type="dxa"/>
            <w:vAlign w:val="center"/>
          </w:tcPr>
          <w:p>
            <w:pPr>
              <w:pStyle w:val="11"/>
            </w:pPr>
            <w:r>
              <w:t>其中：财政    资金</w:t>
            </w:r>
          </w:p>
        </w:tc>
        <w:tc>
          <w:tcPr>
            <w:tcW w:w="2551" w:type="dxa"/>
            <w:vAlign w:val="center"/>
          </w:tcPr>
          <w:p>
            <w:pPr>
              <w:pStyle w:val="13"/>
            </w:pPr>
            <w:r>
              <w:t>105.50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该项目资金用于发放聘任制书记员工资、缴纳保险、住房公积金。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该项目资金用于落实书记员工资、保险及住房公积金方面的待遇。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服务人数</w:t>
            </w:r>
          </w:p>
        </w:tc>
        <w:tc>
          <w:tcPr>
            <w:tcW w:w="5386" w:type="dxa"/>
            <w:vAlign w:val="center"/>
          </w:tcPr>
          <w:p>
            <w:pPr>
              <w:pStyle w:val="13"/>
            </w:pPr>
            <w:r>
              <w:t xml:space="preserve"> 服务人数</w:t>
            </w:r>
          </w:p>
        </w:tc>
        <w:tc>
          <w:tcPr>
            <w:tcW w:w="2268" w:type="dxa"/>
            <w:vAlign w:val="center"/>
          </w:tcPr>
          <w:p>
            <w:pPr>
              <w:pStyle w:val="13"/>
              <w:rPr>
                <w:rFonts w:hint="eastAsia" w:eastAsia="方正书宋_GBK"/>
                <w:lang w:eastAsia="zh-CN"/>
              </w:rPr>
            </w:pPr>
            <w:r>
              <w:t>20人</w:t>
            </w:r>
            <w:r>
              <w:rPr>
                <w:rFonts w:hint="eastAsia"/>
                <w:lang w:eastAsia="zh-CN"/>
              </w:rPr>
              <w:t>次</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财政拨款保障率</w:t>
            </w:r>
          </w:p>
        </w:tc>
        <w:tc>
          <w:tcPr>
            <w:tcW w:w="5386" w:type="dxa"/>
            <w:vAlign w:val="center"/>
          </w:tcPr>
          <w:p>
            <w:pPr>
              <w:pStyle w:val="13"/>
              <w:rPr>
                <w:rFonts w:hint="eastAsia" w:eastAsia="方正书宋_GBK"/>
                <w:lang w:eastAsia="zh-CN"/>
              </w:rPr>
            </w:pPr>
            <w:r>
              <w:t>人员经费实际财政拨款占预算的比</w:t>
            </w:r>
            <w:r>
              <w:rPr>
                <w:rFonts w:hint="eastAsia"/>
                <w:lang w:eastAsia="zh-CN"/>
              </w:rPr>
              <w:t>例</w:t>
            </w:r>
          </w:p>
        </w:tc>
        <w:tc>
          <w:tcPr>
            <w:tcW w:w="2268" w:type="dxa"/>
            <w:vAlign w:val="center"/>
          </w:tcPr>
          <w:p>
            <w:pPr>
              <w:pStyle w:val="13"/>
            </w:pPr>
            <w:r>
              <w:t>100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各项任务完成及时率（%）</w:t>
            </w:r>
          </w:p>
        </w:tc>
        <w:tc>
          <w:tcPr>
            <w:tcW w:w="5386" w:type="dxa"/>
            <w:vAlign w:val="center"/>
          </w:tcPr>
          <w:p>
            <w:pPr>
              <w:pStyle w:val="13"/>
            </w:pPr>
            <w:r>
              <w:t xml:space="preserve"> 各项任务完成及时率（%）</w:t>
            </w:r>
          </w:p>
        </w:tc>
        <w:tc>
          <w:tcPr>
            <w:tcW w:w="2268" w:type="dxa"/>
            <w:vAlign w:val="center"/>
          </w:tcPr>
          <w:p>
            <w:pPr>
              <w:pStyle w:val="13"/>
            </w:pPr>
            <w:r>
              <w:t>100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预算控制数</w:t>
            </w:r>
          </w:p>
        </w:tc>
        <w:tc>
          <w:tcPr>
            <w:tcW w:w="5386" w:type="dxa"/>
            <w:vAlign w:val="center"/>
          </w:tcPr>
          <w:p>
            <w:pPr>
              <w:pStyle w:val="13"/>
            </w:pPr>
            <w:r>
              <w:t xml:space="preserve"> 预算控制数</w:t>
            </w:r>
          </w:p>
        </w:tc>
        <w:tc>
          <w:tcPr>
            <w:tcW w:w="2268" w:type="dxa"/>
            <w:vAlign w:val="center"/>
          </w:tcPr>
          <w:p>
            <w:pPr>
              <w:pStyle w:val="13"/>
            </w:pPr>
            <w:r>
              <w:t>100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提高效率</w:t>
            </w:r>
          </w:p>
        </w:tc>
        <w:tc>
          <w:tcPr>
            <w:tcW w:w="5386" w:type="dxa"/>
            <w:vAlign w:val="center"/>
          </w:tcPr>
          <w:p>
            <w:pPr>
              <w:pStyle w:val="13"/>
            </w:pPr>
            <w:r>
              <w:t>提高效率</w:t>
            </w:r>
          </w:p>
        </w:tc>
        <w:tc>
          <w:tcPr>
            <w:tcW w:w="2268" w:type="dxa"/>
            <w:vAlign w:val="center"/>
          </w:tcPr>
          <w:p>
            <w:pPr>
              <w:pStyle w:val="13"/>
            </w:pPr>
            <w:r>
              <w:t>≥70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社保费征缴率</w:t>
            </w:r>
          </w:p>
        </w:tc>
        <w:tc>
          <w:tcPr>
            <w:tcW w:w="5386" w:type="dxa"/>
            <w:vAlign w:val="center"/>
          </w:tcPr>
          <w:p>
            <w:pPr>
              <w:pStyle w:val="13"/>
            </w:pPr>
            <w:r>
              <w:t xml:space="preserve"> 社保费征缴率</w:t>
            </w:r>
          </w:p>
        </w:tc>
        <w:tc>
          <w:tcPr>
            <w:tcW w:w="2268" w:type="dxa"/>
            <w:vAlign w:val="center"/>
          </w:tcPr>
          <w:p>
            <w:pPr>
              <w:pStyle w:val="13"/>
            </w:pPr>
            <w:r>
              <w:t>100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化解矛盾率（%）</w:t>
            </w:r>
          </w:p>
        </w:tc>
        <w:tc>
          <w:tcPr>
            <w:tcW w:w="5386" w:type="dxa"/>
            <w:vAlign w:val="center"/>
          </w:tcPr>
          <w:p>
            <w:pPr>
              <w:pStyle w:val="13"/>
            </w:pPr>
            <w:r>
              <w:t xml:space="preserve"> 化解矛盾率（%）</w:t>
            </w:r>
          </w:p>
        </w:tc>
        <w:tc>
          <w:tcPr>
            <w:tcW w:w="2268" w:type="dxa"/>
            <w:vAlign w:val="center"/>
          </w:tcPr>
          <w:p>
            <w:pPr>
              <w:pStyle w:val="13"/>
            </w:pPr>
            <w:r>
              <w:t>≥60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维护社会稳定</w:t>
            </w:r>
          </w:p>
        </w:tc>
        <w:tc>
          <w:tcPr>
            <w:tcW w:w="5386" w:type="dxa"/>
            <w:vAlign w:val="center"/>
          </w:tcPr>
          <w:p>
            <w:pPr>
              <w:pStyle w:val="13"/>
            </w:pPr>
            <w:r>
              <w:t xml:space="preserve"> 维护社会稳定</w:t>
            </w:r>
          </w:p>
        </w:tc>
        <w:tc>
          <w:tcPr>
            <w:tcW w:w="2268" w:type="dxa"/>
            <w:vAlign w:val="center"/>
          </w:tcPr>
          <w:p>
            <w:pPr>
              <w:pStyle w:val="13"/>
            </w:pPr>
            <w:r>
              <w:t>≥90 百分比</w:t>
            </w:r>
          </w:p>
        </w:tc>
        <w:tc>
          <w:tcPr>
            <w:tcW w:w="1276" w:type="dxa"/>
            <w:vAlign w:val="center"/>
          </w:tcPr>
          <w:p>
            <w:pPr>
              <w:pStyle w:val="13"/>
            </w:pPr>
            <w:r>
              <w:t xml:space="preserve"> 合同、市级文件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服务对象满意度</w:t>
            </w:r>
          </w:p>
        </w:tc>
        <w:tc>
          <w:tcPr>
            <w:tcW w:w="5386" w:type="dxa"/>
            <w:vAlign w:val="center"/>
          </w:tcPr>
          <w:p>
            <w:pPr>
              <w:pStyle w:val="13"/>
            </w:pPr>
            <w:r>
              <w:t xml:space="preserve"> 服务对象满意度</w:t>
            </w:r>
          </w:p>
        </w:tc>
        <w:tc>
          <w:tcPr>
            <w:tcW w:w="2268" w:type="dxa"/>
            <w:vAlign w:val="center"/>
          </w:tcPr>
          <w:p>
            <w:pPr>
              <w:pStyle w:val="13"/>
            </w:pPr>
            <w:r>
              <w:t>≥95 百分比</w:t>
            </w:r>
          </w:p>
        </w:tc>
        <w:tc>
          <w:tcPr>
            <w:tcW w:w="1276" w:type="dxa"/>
            <w:vAlign w:val="center"/>
          </w:tcPr>
          <w:p>
            <w:pPr>
              <w:pStyle w:val="13"/>
            </w:pPr>
            <w:r>
              <w:t xml:space="preserve"> 合同、市级文件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8、提前下达2024年省级基层公检法司转移支付资金绩效目标表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13110024P00713210449E</w:t>
            </w:r>
          </w:p>
        </w:tc>
        <w:tc>
          <w:tcPr>
            <w:tcW w:w="2835" w:type="dxa"/>
            <w:vAlign w:val="center"/>
          </w:tcPr>
          <w:p>
            <w:pPr>
              <w:pStyle w:val="11"/>
            </w:pPr>
            <w:r>
              <w:t>项目名称</w:t>
            </w:r>
          </w:p>
        </w:tc>
        <w:tc>
          <w:tcPr>
            <w:tcW w:w="6094" w:type="dxa"/>
            <w:gridSpan w:val="3"/>
            <w:vAlign w:val="center"/>
          </w:tcPr>
          <w:p>
            <w:pPr>
              <w:pStyle w:val="13"/>
            </w:pPr>
            <w:r>
              <w:t>提前下达2024年省级基层公检法司转移支付资金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该资金用于执行部门办案业务和业务装备采购方面的支出。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该项目资金保障执行案件正常结案，提高结案率到96%</w:t>
            </w:r>
          </w:p>
          <w:p>
            <w:pPr>
              <w:pStyle w:val="13"/>
            </w:pPr>
            <w:r>
              <w:t>2. 加强社会稳定，限制失信被执行人的权利，提高全</w:t>
            </w:r>
            <w:r>
              <w:rPr>
                <w:rFonts w:hint="eastAsia"/>
                <w:lang w:eastAsia="zh-CN"/>
              </w:rPr>
              <w:t>民</w:t>
            </w:r>
            <w:r>
              <w:t>信誉意识指数。</w:t>
            </w:r>
          </w:p>
          <w:p>
            <w:pPr>
              <w:pStyle w:val="13"/>
            </w:pPr>
            <w:r>
              <w:t>3. 积极推进执行工作，切实保障群众合法权益，维护社会公平正义。</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执结率</w:t>
            </w:r>
          </w:p>
        </w:tc>
        <w:tc>
          <w:tcPr>
            <w:tcW w:w="5386" w:type="dxa"/>
            <w:vAlign w:val="center"/>
          </w:tcPr>
          <w:p>
            <w:pPr>
              <w:pStyle w:val="13"/>
            </w:pPr>
            <w:r>
              <w:t xml:space="preserve"> 执行本院已经发生法律效力的法律文书和法律规定数量占应执行总量的比例</w:t>
            </w:r>
          </w:p>
        </w:tc>
        <w:tc>
          <w:tcPr>
            <w:tcW w:w="2268" w:type="dxa"/>
            <w:vAlign w:val="center"/>
          </w:tcPr>
          <w:p>
            <w:pPr>
              <w:pStyle w:val="13"/>
            </w:pPr>
            <w:r>
              <w:t>≥96百分比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100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执行案件执结时间</w:t>
            </w:r>
          </w:p>
        </w:tc>
        <w:tc>
          <w:tcPr>
            <w:tcW w:w="5386" w:type="dxa"/>
            <w:vAlign w:val="center"/>
          </w:tcPr>
          <w:p>
            <w:pPr>
              <w:pStyle w:val="13"/>
            </w:pPr>
            <w:r>
              <w:t xml:space="preserve"> 执行案件执结时间</w:t>
            </w:r>
          </w:p>
        </w:tc>
        <w:tc>
          <w:tcPr>
            <w:tcW w:w="2268" w:type="dxa"/>
            <w:vAlign w:val="center"/>
          </w:tcPr>
          <w:p>
            <w:pPr>
              <w:pStyle w:val="13"/>
            </w:pPr>
            <w:r>
              <w:t>≤48.91 天</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成本高价的准确性</w:t>
            </w:r>
          </w:p>
        </w:tc>
        <w:tc>
          <w:tcPr>
            <w:tcW w:w="5386" w:type="dxa"/>
            <w:vAlign w:val="center"/>
          </w:tcPr>
          <w:p>
            <w:pPr>
              <w:pStyle w:val="13"/>
            </w:pPr>
            <w:r>
              <w:t xml:space="preserve"> 成本报价的准确性</w:t>
            </w:r>
          </w:p>
        </w:tc>
        <w:tc>
          <w:tcPr>
            <w:tcW w:w="2268" w:type="dxa"/>
            <w:vAlign w:val="center"/>
          </w:tcPr>
          <w:p>
            <w:pPr>
              <w:pStyle w:val="13"/>
            </w:pPr>
            <w:r>
              <w:t>装备采购成本报价准确度</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设备使用率（%）</w:t>
            </w:r>
          </w:p>
        </w:tc>
        <w:tc>
          <w:tcPr>
            <w:tcW w:w="5386" w:type="dxa"/>
            <w:vAlign w:val="center"/>
          </w:tcPr>
          <w:p>
            <w:pPr>
              <w:pStyle w:val="13"/>
            </w:pPr>
            <w:r>
              <w:t xml:space="preserve"> 设备使用率（%）</w:t>
            </w:r>
          </w:p>
        </w:tc>
        <w:tc>
          <w:tcPr>
            <w:tcW w:w="2268" w:type="dxa"/>
            <w:vAlign w:val="center"/>
          </w:tcPr>
          <w:p>
            <w:pPr>
              <w:pStyle w:val="13"/>
            </w:pPr>
            <w:r>
              <w:t>100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化解矛盾率（%）</w:t>
            </w:r>
          </w:p>
        </w:tc>
        <w:tc>
          <w:tcPr>
            <w:tcW w:w="5386" w:type="dxa"/>
            <w:vAlign w:val="center"/>
          </w:tcPr>
          <w:p>
            <w:pPr>
              <w:pStyle w:val="13"/>
            </w:pPr>
            <w:r>
              <w:t xml:space="preserve"> 化解矛盾率（%）</w:t>
            </w:r>
          </w:p>
        </w:tc>
        <w:tc>
          <w:tcPr>
            <w:tcW w:w="2268" w:type="dxa"/>
            <w:vAlign w:val="center"/>
          </w:tcPr>
          <w:p>
            <w:pPr>
              <w:pStyle w:val="13"/>
            </w:pPr>
            <w:r>
              <w:t>≥90百分比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维护社会稳定</w:t>
            </w:r>
          </w:p>
        </w:tc>
        <w:tc>
          <w:tcPr>
            <w:tcW w:w="5386" w:type="dxa"/>
            <w:vAlign w:val="center"/>
          </w:tcPr>
          <w:p>
            <w:pPr>
              <w:pStyle w:val="13"/>
            </w:pPr>
            <w:r>
              <w:t xml:space="preserve"> 维护社会稳定</w:t>
            </w:r>
          </w:p>
        </w:tc>
        <w:tc>
          <w:tcPr>
            <w:tcW w:w="2268" w:type="dxa"/>
            <w:vAlign w:val="center"/>
          </w:tcPr>
          <w:p>
            <w:pPr>
              <w:pStyle w:val="13"/>
              <w:rPr>
                <w:rFonts w:hint="eastAsia" w:eastAsia="方正书宋_GBK"/>
                <w:lang w:eastAsia="zh-CN"/>
              </w:rPr>
            </w:pPr>
            <w:r>
              <w:t xml:space="preserve"> 执行案件审结，促进社会稳定</w:t>
            </w:r>
            <w:r>
              <w:rPr>
                <w:rFonts w:hint="eastAsia"/>
                <w:lang w:eastAsia="zh-CN"/>
              </w:rPr>
              <w:t>。</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满意率</w:t>
            </w:r>
          </w:p>
        </w:tc>
        <w:tc>
          <w:tcPr>
            <w:tcW w:w="5386" w:type="dxa"/>
            <w:vAlign w:val="center"/>
          </w:tcPr>
          <w:p>
            <w:pPr>
              <w:pStyle w:val="13"/>
            </w:pPr>
            <w:r>
              <w:t xml:space="preserve"> 满意率</w:t>
            </w:r>
          </w:p>
        </w:tc>
        <w:tc>
          <w:tcPr>
            <w:tcW w:w="2268" w:type="dxa"/>
            <w:vAlign w:val="center"/>
          </w:tcPr>
          <w:p>
            <w:pPr>
              <w:pStyle w:val="13"/>
            </w:pPr>
            <w:r>
              <w:t>≥90 百分比</w:t>
            </w:r>
          </w:p>
        </w:tc>
        <w:tc>
          <w:tcPr>
            <w:tcW w:w="1276" w:type="dxa"/>
            <w:vAlign w:val="center"/>
          </w:tcPr>
          <w:p>
            <w:pPr>
              <w:pStyle w:val="13"/>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9、提前下达2024年中央政法纪检监察转移支付资金绩效目标表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13110024P00713210448T</w:t>
            </w:r>
          </w:p>
        </w:tc>
        <w:tc>
          <w:tcPr>
            <w:tcW w:w="2835" w:type="dxa"/>
            <w:vAlign w:val="center"/>
          </w:tcPr>
          <w:p>
            <w:pPr>
              <w:pStyle w:val="11"/>
            </w:pPr>
            <w:r>
              <w:t>项目名称</w:t>
            </w:r>
          </w:p>
        </w:tc>
        <w:tc>
          <w:tcPr>
            <w:tcW w:w="6094" w:type="dxa"/>
            <w:gridSpan w:val="3"/>
            <w:vAlign w:val="center"/>
          </w:tcPr>
          <w:p>
            <w:pPr>
              <w:pStyle w:val="13"/>
            </w:pPr>
            <w:r>
              <w:t>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132.00</w:t>
            </w:r>
          </w:p>
        </w:tc>
        <w:tc>
          <w:tcPr>
            <w:tcW w:w="2835" w:type="dxa"/>
            <w:vAlign w:val="center"/>
          </w:tcPr>
          <w:p>
            <w:pPr>
              <w:pStyle w:val="11"/>
            </w:pPr>
            <w:r>
              <w:t>其中：财政    资金</w:t>
            </w:r>
          </w:p>
        </w:tc>
        <w:tc>
          <w:tcPr>
            <w:tcW w:w="2551" w:type="dxa"/>
            <w:vAlign w:val="center"/>
          </w:tcPr>
          <w:p>
            <w:pPr>
              <w:pStyle w:val="13"/>
            </w:pPr>
            <w:r>
              <w:t>132.00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该项目资金用于审判部门办案业务和业务装备采购方面的支出。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为案件审判提供技术支撑，提高办案质量</w:t>
            </w:r>
          </w:p>
          <w:p>
            <w:pPr>
              <w:pStyle w:val="13"/>
            </w:pPr>
            <w:r>
              <w:t>2. 促进社会和谐，维护社会稳定。</w:t>
            </w:r>
          </w:p>
          <w:p>
            <w:pPr>
              <w:pStyle w:val="13"/>
            </w:pPr>
            <w:r>
              <w:t>3. 高质高效完成审判工作。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案件结案率（%）</w:t>
            </w:r>
          </w:p>
        </w:tc>
        <w:tc>
          <w:tcPr>
            <w:tcW w:w="5386" w:type="dxa"/>
            <w:vAlign w:val="center"/>
          </w:tcPr>
          <w:p>
            <w:pPr>
              <w:pStyle w:val="13"/>
            </w:pPr>
            <w:r>
              <w:t xml:space="preserve"> 案件结案率（%）</w:t>
            </w:r>
          </w:p>
        </w:tc>
        <w:tc>
          <w:tcPr>
            <w:tcW w:w="2268" w:type="dxa"/>
            <w:vAlign w:val="center"/>
          </w:tcPr>
          <w:p>
            <w:pPr>
              <w:pStyle w:val="13"/>
            </w:pPr>
            <w:r>
              <w:t>≥97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办案专款专用率</w:t>
            </w:r>
          </w:p>
        </w:tc>
        <w:tc>
          <w:tcPr>
            <w:tcW w:w="5386" w:type="dxa"/>
            <w:vAlign w:val="center"/>
          </w:tcPr>
          <w:p>
            <w:pPr>
              <w:pStyle w:val="13"/>
            </w:pPr>
            <w:r>
              <w:t xml:space="preserve"> 办案专款专用率</w:t>
            </w:r>
          </w:p>
        </w:tc>
        <w:tc>
          <w:tcPr>
            <w:tcW w:w="2268" w:type="dxa"/>
            <w:vAlign w:val="center"/>
          </w:tcPr>
          <w:p>
            <w:pPr>
              <w:pStyle w:val="13"/>
            </w:pPr>
            <w:r>
              <w:t>100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审结时间</w:t>
            </w:r>
          </w:p>
        </w:tc>
        <w:tc>
          <w:tcPr>
            <w:tcW w:w="5386" w:type="dxa"/>
            <w:vAlign w:val="center"/>
          </w:tcPr>
          <w:p>
            <w:pPr>
              <w:pStyle w:val="13"/>
            </w:pPr>
            <w:r>
              <w:t xml:space="preserve"> 审结时间</w:t>
            </w:r>
          </w:p>
        </w:tc>
        <w:tc>
          <w:tcPr>
            <w:tcW w:w="2268" w:type="dxa"/>
            <w:vAlign w:val="center"/>
          </w:tcPr>
          <w:p>
            <w:pPr>
              <w:pStyle w:val="13"/>
            </w:pPr>
            <w:r>
              <w:t>≤32.73 天</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预算控制数</w:t>
            </w:r>
          </w:p>
        </w:tc>
        <w:tc>
          <w:tcPr>
            <w:tcW w:w="5386" w:type="dxa"/>
            <w:vAlign w:val="center"/>
          </w:tcPr>
          <w:p>
            <w:pPr>
              <w:pStyle w:val="13"/>
            </w:pPr>
            <w:r>
              <w:t xml:space="preserve"> 预算控制数</w:t>
            </w:r>
          </w:p>
        </w:tc>
        <w:tc>
          <w:tcPr>
            <w:tcW w:w="2268" w:type="dxa"/>
            <w:vAlign w:val="center"/>
          </w:tcPr>
          <w:p>
            <w:pPr>
              <w:pStyle w:val="13"/>
            </w:pPr>
            <w:r>
              <w:t>≤132 万元</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国有资产流失案件发生率</w:t>
            </w:r>
          </w:p>
        </w:tc>
        <w:tc>
          <w:tcPr>
            <w:tcW w:w="5386" w:type="dxa"/>
            <w:vAlign w:val="center"/>
          </w:tcPr>
          <w:p>
            <w:pPr>
              <w:pStyle w:val="13"/>
            </w:pPr>
            <w:r>
              <w:t xml:space="preserve"> 国有资产流失案件发生率</w:t>
            </w:r>
          </w:p>
        </w:tc>
        <w:tc>
          <w:tcPr>
            <w:tcW w:w="2268" w:type="dxa"/>
            <w:vAlign w:val="center"/>
          </w:tcPr>
          <w:p>
            <w:pPr>
              <w:pStyle w:val="13"/>
            </w:pPr>
            <w:r>
              <w:t>≤0.01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改判发回重审率</w:t>
            </w:r>
          </w:p>
        </w:tc>
        <w:tc>
          <w:tcPr>
            <w:tcW w:w="5386" w:type="dxa"/>
            <w:vAlign w:val="center"/>
          </w:tcPr>
          <w:p>
            <w:pPr>
              <w:pStyle w:val="13"/>
            </w:pPr>
            <w:r>
              <w:t xml:space="preserve"> 改判发回重审率</w:t>
            </w:r>
          </w:p>
        </w:tc>
        <w:tc>
          <w:tcPr>
            <w:tcW w:w="2268" w:type="dxa"/>
            <w:vAlign w:val="center"/>
          </w:tcPr>
          <w:p>
            <w:pPr>
              <w:pStyle w:val="13"/>
            </w:pPr>
            <w:r>
              <w:t>≤1.06百分比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参训人数</w:t>
            </w:r>
          </w:p>
        </w:tc>
        <w:tc>
          <w:tcPr>
            <w:tcW w:w="5386" w:type="dxa"/>
            <w:vAlign w:val="center"/>
          </w:tcPr>
          <w:p>
            <w:pPr>
              <w:pStyle w:val="13"/>
            </w:pPr>
            <w:r>
              <w:t>参训人数</w:t>
            </w:r>
          </w:p>
        </w:tc>
        <w:tc>
          <w:tcPr>
            <w:tcW w:w="2268" w:type="dxa"/>
            <w:vAlign w:val="center"/>
          </w:tcPr>
          <w:p>
            <w:pPr>
              <w:pStyle w:val="13"/>
            </w:pPr>
            <w:r>
              <w:t>≥10 人</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维护社会稳定</w:t>
            </w:r>
          </w:p>
        </w:tc>
        <w:tc>
          <w:tcPr>
            <w:tcW w:w="5386" w:type="dxa"/>
            <w:vAlign w:val="center"/>
          </w:tcPr>
          <w:p>
            <w:pPr>
              <w:pStyle w:val="13"/>
            </w:pPr>
            <w:r>
              <w:t>维护社会稳定</w:t>
            </w:r>
          </w:p>
        </w:tc>
        <w:tc>
          <w:tcPr>
            <w:tcW w:w="2268" w:type="dxa"/>
            <w:vAlign w:val="center"/>
          </w:tcPr>
          <w:p>
            <w:pPr>
              <w:pStyle w:val="13"/>
            </w:pPr>
            <w:r>
              <w:t xml:space="preserve"> 定纷止争</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满意率</w:t>
            </w:r>
          </w:p>
        </w:tc>
        <w:tc>
          <w:tcPr>
            <w:tcW w:w="5386" w:type="dxa"/>
            <w:vAlign w:val="center"/>
          </w:tcPr>
          <w:p>
            <w:pPr>
              <w:pStyle w:val="13"/>
            </w:pPr>
            <w:r>
              <w:t xml:space="preserve"> 满意率</w:t>
            </w:r>
          </w:p>
        </w:tc>
        <w:tc>
          <w:tcPr>
            <w:tcW w:w="2268" w:type="dxa"/>
            <w:vAlign w:val="center"/>
          </w:tcPr>
          <w:p>
            <w:pPr>
              <w:pStyle w:val="13"/>
            </w:pPr>
            <w:r>
              <w:t>≥80 百分比</w:t>
            </w:r>
          </w:p>
        </w:tc>
        <w:tc>
          <w:tcPr>
            <w:tcW w:w="1276" w:type="dxa"/>
            <w:vAlign w:val="center"/>
          </w:tcPr>
          <w:p>
            <w:pPr>
              <w:pStyle w:val="13"/>
            </w:pPr>
            <w:r>
              <w:t xml:space="preserve"> 上级文件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10、运行保障经费绩效目标表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13110024P00713210434G</w:t>
            </w:r>
          </w:p>
        </w:tc>
        <w:tc>
          <w:tcPr>
            <w:tcW w:w="2835" w:type="dxa"/>
            <w:vAlign w:val="center"/>
          </w:tcPr>
          <w:p>
            <w:pPr>
              <w:pStyle w:val="11"/>
            </w:pPr>
            <w:r>
              <w:t>项目名称</w:t>
            </w:r>
          </w:p>
        </w:tc>
        <w:tc>
          <w:tcPr>
            <w:tcW w:w="6094" w:type="dxa"/>
            <w:gridSpan w:val="3"/>
            <w:vAlign w:val="center"/>
          </w:tcPr>
          <w:p>
            <w:pPr>
              <w:pStyle w:val="13"/>
            </w:pPr>
            <w:r>
              <w:t>运行保障经费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144.87</w:t>
            </w:r>
          </w:p>
        </w:tc>
        <w:tc>
          <w:tcPr>
            <w:tcW w:w="2835" w:type="dxa"/>
            <w:vAlign w:val="center"/>
          </w:tcPr>
          <w:p>
            <w:pPr>
              <w:pStyle w:val="11"/>
            </w:pPr>
            <w:r>
              <w:t>其中：财政    资金</w:t>
            </w:r>
          </w:p>
        </w:tc>
        <w:tc>
          <w:tcPr>
            <w:tcW w:w="2551" w:type="dxa"/>
            <w:vAlign w:val="center"/>
          </w:tcPr>
          <w:p>
            <w:pPr>
              <w:pStyle w:val="13"/>
            </w:pPr>
            <w:r>
              <w:t>144.87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 xml:space="preserve">    该资金用于保障我院机关正常运转。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保障我院日常正常运转，提高审执后勤工作质效。</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计算机打印设备、网络正常运行保障率</w:t>
            </w:r>
          </w:p>
        </w:tc>
        <w:tc>
          <w:tcPr>
            <w:tcW w:w="5386" w:type="dxa"/>
            <w:vAlign w:val="center"/>
          </w:tcPr>
          <w:p>
            <w:pPr>
              <w:pStyle w:val="13"/>
            </w:pPr>
            <w:r>
              <w:t xml:space="preserve"> 计算机打印设备、网络正常运行保障率</w:t>
            </w:r>
          </w:p>
        </w:tc>
        <w:tc>
          <w:tcPr>
            <w:tcW w:w="2268" w:type="dxa"/>
            <w:vAlign w:val="center"/>
          </w:tcPr>
          <w:p>
            <w:pPr>
              <w:pStyle w:val="13"/>
            </w:pPr>
            <w:r>
              <w:t>100百分比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综合事务管理完成率</w:t>
            </w:r>
          </w:p>
        </w:tc>
        <w:tc>
          <w:tcPr>
            <w:tcW w:w="5386" w:type="dxa"/>
            <w:vAlign w:val="center"/>
          </w:tcPr>
          <w:p>
            <w:pPr>
              <w:pStyle w:val="13"/>
            </w:pPr>
            <w:r>
              <w:t xml:space="preserve"> 综合事务管理完成率</w:t>
            </w:r>
          </w:p>
        </w:tc>
        <w:tc>
          <w:tcPr>
            <w:tcW w:w="2268" w:type="dxa"/>
            <w:vAlign w:val="center"/>
          </w:tcPr>
          <w:p>
            <w:pPr>
              <w:pStyle w:val="13"/>
            </w:pPr>
            <w:r>
              <w:t>≥98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资金按时拨付</w:t>
            </w:r>
          </w:p>
        </w:tc>
        <w:tc>
          <w:tcPr>
            <w:tcW w:w="5386" w:type="dxa"/>
            <w:vAlign w:val="center"/>
          </w:tcPr>
          <w:p>
            <w:pPr>
              <w:pStyle w:val="13"/>
            </w:pPr>
            <w:r>
              <w:t xml:space="preserve"> 资金按时拨付</w:t>
            </w:r>
          </w:p>
        </w:tc>
        <w:tc>
          <w:tcPr>
            <w:tcW w:w="2268" w:type="dxa"/>
            <w:vAlign w:val="center"/>
          </w:tcPr>
          <w:p>
            <w:pPr>
              <w:pStyle w:val="13"/>
            </w:pPr>
            <w:r>
              <w:t>资金按实际业务需求及时拨付</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 xml:space="preserve"> 预算控制数</w:t>
            </w:r>
          </w:p>
        </w:tc>
        <w:tc>
          <w:tcPr>
            <w:tcW w:w="5386" w:type="dxa"/>
            <w:vAlign w:val="center"/>
          </w:tcPr>
          <w:p>
            <w:pPr>
              <w:pStyle w:val="13"/>
            </w:pPr>
            <w:r>
              <w:t xml:space="preserve"> 预算控制数</w:t>
            </w:r>
          </w:p>
        </w:tc>
        <w:tc>
          <w:tcPr>
            <w:tcW w:w="2268" w:type="dxa"/>
            <w:vAlign w:val="center"/>
          </w:tcPr>
          <w:p>
            <w:pPr>
              <w:pStyle w:val="13"/>
            </w:pPr>
            <w:r>
              <w:t>≤144.87 万元</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 xml:space="preserve"> 资金的使用效率</w:t>
            </w:r>
          </w:p>
        </w:tc>
        <w:tc>
          <w:tcPr>
            <w:tcW w:w="5386" w:type="dxa"/>
            <w:vAlign w:val="center"/>
          </w:tcPr>
          <w:p>
            <w:pPr>
              <w:pStyle w:val="13"/>
            </w:pPr>
            <w:r>
              <w:t xml:space="preserve"> 资金的使用效率</w:t>
            </w:r>
          </w:p>
        </w:tc>
        <w:tc>
          <w:tcPr>
            <w:tcW w:w="2268" w:type="dxa"/>
            <w:vAlign w:val="center"/>
          </w:tcPr>
          <w:p>
            <w:pPr>
              <w:pStyle w:val="13"/>
            </w:pPr>
            <w:r>
              <w:t>100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管理服务成效</w:t>
            </w:r>
          </w:p>
        </w:tc>
        <w:tc>
          <w:tcPr>
            <w:tcW w:w="5386" w:type="dxa"/>
            <w:vAlign w:val="center"/>
          </w:tcPr>
          <w:p>
            <w:pPr>
              <w:pStyle w:val="13"/>
            </w:pPr>
            <w:r>
              <w:t xml:space="preserve"> 管理服务成效</w:t>
            </w:r>
          </w:p>
        </w:tc>
        <w:tc>
          <w:tcPr>
            <w:tcW w:w="2268" w:type="dxa"/>
            <w:vAlign w:val="center"/>
          </w:tcPr>
          <w:p>
            <w:pPr>
              <w:pStyle w:val="13"/>
            </w:pPr>
            <w:r>
              <w:t>保安、保洁等有效保障院机关安全卫生</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 xml:space="preserve"> 工作完成率</w:t>
            </w:r>
          </w:p>
        </w:tc>
        <w:tc>
          <w:tcPr>
            <w:tcW w:w="5386" w:type="dxa"/>
            <w:vAlign w:val="center"/>
          </w:tcPr>
          <w:p>
            <w:pPr>
              <w:pStyle w:val="13"/>
            </w:pPr>
            <w:r>
              <w:t xml:space="preserve"> 工作完成率</w:t>
            </w:r>
          </w:p>
        </w:tc>
        <w:tc>
          <w:tcPr>
            <w:tcW w:w="2268" w:type="dxa"/>
            <w:vAlign w:val="center"/>
          </w:tcPr>
          <w:p>
            <w:pPr>
              <w:pStyle w:val="13"/>
            </w:pPr>
            <w:r>
              <w:t>98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 xml:space="preserve"> 持续服务率（%）</w:t>
            </w:r>
          </w:p>
        </w:tc>
        <w:tc>
          <w:tcPr>
            <w:tcW w:w="5386" w:type="dxa"/>
            <w:vAlign w:val="center"/>
          </w:tcPr>
          <w:p>
            <w:pPr>
              <w:pStyle w:val="13"/>
            </w:pPr>
            <w:r>
              <w:t xml:space="preserve"> 持续服务率（%）</w:t>
            </w:r>
          </w:p>
        </w:tc>
        <w:tc>
          <w:tcPr>
            <w:tcW w:w="2268" w:type="dxa"/>
            <w:vAlign w:val="center"/>
          </w:tcPr>
          <w:p>
            <w:pPr>
              <w:pStyle w:val="13"/>
            </w:pPr>
            <w:r>
              <w:t>≥80 百分比</w:t>
            </w:r>
          </w:p>
        </w:tc>
        <w:tc>
          <w:tcPr>
            <w:tcW w:w="1276" w:type="dxa"/>
            <w:vAlign w:val="center"/>
          </w:tcPr>
          <w:p>
            <w:pPr>
              <w:pStyle w:val="13"/>
            </w:pPr>
            <w:r>
              <w:t xml:space="preserve"> 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满意率</w:t>
            </w:r>
          </w:p>
        </w:tc>
        <w:tc>
          <w:tcPr>
            <w:tcW w:w="5386" w:type="dxa"/>
            <w:vAlign w:val="center"/>
          </w:tcPr>
          <w:p>
            <w:pPr>
              <w:pStyle w:val="13"/>
            </w:pPr>
            <w:r>
              <w:t xml:space="preserve"> 满意率</w:t>
            </w:r>
          </w:p>
        </w:tc>
        <w:tc>
          <w:tcPr>
            <w:tcW w:w="2268" w:type="dxa"/>
            <w:vAlign w:val="center"/>
          </w:tcPr>
          <w:p>
            <w:pPr>
              <w:pStyle w:val="13"/>
            </w:pPr>
            <w:r>
              <w:t>≥90 百分比</w:t>
            </w:r>
          </w:p>
        </w:tc>
        <w:tc>
          <w:tcPr>
            <w:tcW w:w="1276" w:type="dxa"/>
            <w:vAlign w:val="center"/>
          </w:tcPr>
          <w:p>
            <w:pPr>
              <w:pStyle w:val="13"/>
            </w:pPr>
            <w:r>
              <w:t xml:space="preserve"> 上级文件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606武强县人民法院</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武强县人民法院（含所属单位）上年末固定资产金额为</w:t>
      </w:r>
      <w:r>
        <w:rPr>
          <w:rFonts w:hint="eastAsia" w:eastAsia="方正仿宋_GBK"/>
          <w:color w:val="000000"/>
          <w:sz w:val="28"/>
          <w:lang w:val="en-US" w:eastAsia="zh-CN"/>
        </w:rPr>
        <w:t>3549.07</w:t>
      </w:r>
      <w:r>
        <w:rPr>
          <w:rFonts w:eastAsia="方正仿宋_GBK"/>
          <w:color w:val="000000"/>
          <w:sz w:val="28"/>
        </w:rPr>
        <w:t>万元（详见下表）。本年度拟购置固定资产总额为66.33万元，</w:t>
      </w:r>
      <w:r>
        <w:rPr>
          <w:rFonts w:hint="eastAsia" w:eastAsia="方正仿宋_GBK"/>
          <w:color w:val="000000"/>
          <w:sz w:val="28"/>
          <w:lang w:eastAsia="zh-CN"/>
        </w:rPr>
        <w:t>因未达到采购限额，所以未做政府采购预算</w:t>
      </w:r>
      <w:r>
        <w:rPr>
          <w:rFonts w:eastAsia="方正仿宋_GBK"/>
          <w:color w:val="000000"/>
          <w:sz w:val="28"/>
        </w:rPr>
        <w:t>。</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606武强县人民法院</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3111</w:t>
            </w:r>
          </w:p>
        </w:tc>
        <w:tc>
          <w:tcPr>
            <w:tcW w:w="2835" w:type="dxa"/>
            <w:vAlign w:val="center"/>
          </w:tcPr>
          <w:p>
            <w:pPr>
              <w:pStyle w:val="12"/>
              <w:rPr>
                <w:rFonts w:hint="default" w:eastAsia="方正书宋_GBK"/>
                <w:lang w:val="en-US" w:eastAsia="zh-CN"/>
              </w:rPr>
            </w:pPr>
            <w:r>
              <w:rPr>
                <w:rFonts w:hint="eastAsia"/>
                <w:lang w:val="en-US" w:eastAsia="zh-CN"/>
              </w:rPr>
              <w:t>3549.07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9884.19</w:t>
            </w:r>
          </w:p>
        </w:tc>
        <w:tc>
          <w:tcPr>
            <w:tcW w:w="2835" w:type="dxa"/>
            <w:vAlign w:val="center"/>
          </w:tcPr>
          <w:p>
            <w:pPr>
              <w:pStyle w:val="12"/>
            </w:pPr>
            <w:r>
              <w:t>1224.02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1903.86</w:t>
            </w:r>
          </w:p>
        </w:tc>
        <w:tc>
          <w:tcPr>
            <w:tcW w:w="2835" w:type="dxa"/>
            <w:vAlign w:val="center"/>
          </w:tcPr>
          <w:p>
            <w:pPr>
              <w:pStyle w:val="12"/>
            </w:pPr>
            <w:r>
              <w:t>67.10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10</w:t>
            </w:r>
          </w:p>
        </w:tc>
        <w:tc>
          <w:tcPr>
            <w:tcW w:w="2835" w:type="dxa"/>
            <w:vAlign w:val="center"/>
          </w:tcPr>
          <w:p>
            <w:pPr>
              <w:pStyle w:val="12"/>
            </w:pPr>
            <w:r>
              <w:t>137.19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rPr>
                <w:rFonts w:hint="default" w:eastAsia="方正书宋_GBK"/>
                <w:lang w:val="en-US" w:eastAsia="zh-CN"/>
              </w:rPr>
            </w:pPr>
            <w:r>
              <w:rPr>
                <w:rFonts w:hint="eastAsia"/>
                <w:lang w:val="en-US" w:eastAsia="zh-CN"/>
              </w:rPr>
              <w:t>3087</w:t>
            </w:r>
          </w:p>
        </w:tc>
        <w:tc>
          <w:tcPr>
            <w:tcW w:w="2835" w:type="dxa"/>
            <w:vAlign w:val="center"/>
          </w:tcPr>
          <w:p>
            <w:pPr>
              <w:pStyle w:val="12"/>
              <w:rPr>
                <w:rFonts w:hint="default" w:eastAsia="方正书宋_GBK"/>
                <w:lang w:val="en-US" w:eastAsia="zh-CN"/>
              </w:rPr>
            </w:pPr>
            <w:r>
              <w:t>2</w:t>
            </w:r>
            <w:r>
              <w:rPr>
                <w:rFonts w:hint="eastAsia"/>
                <w:lang w:val="en-US" w:eastAsia="zh-CN"/>
              </w:rPr>
              <w:t>187.86</w:t>
            </w:r>
            <w:bookmarkStart w:id="20" w:name="_GoBack"/>
            <w:bookmarkEnd w:id="20"/>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3000509000000000000"/>
    <w:charset w:val="86"/>
    <w:family w:val="roma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F4DE7"/>
    <w:multiLevelType w:val="singleLevel"/>
    <w:tmpl w:val="D24F4D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C5"/>
    <w:rsid w:val="00223FDE"/>
    <w:rsid w:val="006328C5"/>
    <w:rsid w:val="00646DA3"/>
    <w:rsid w:val="0EEC3F08"/>
    <w:rsid w:val="0FFA735C"/>
    <w:rsid w:val="10B169D0"/>
    <w:rsid w:val="10D12E59"/>
    <w:rsid w:val="13874444"/>
    <w:rsid w:val="18DC204D"/>
    <w:rsid w:val="21C40374"/>
    <w:rsid w:val="2814099B"/>
    <w:rsid w:val="2D170D45"/>
    <w:rsid w:val="35907231"/>
    <w:rsid w:val="3A0A4476"/>
    <w:rsid w:val="59192261"/>
    <w:rsid w:val="59577BC3"/>
    <w:rsid w:val="64E67FF5"/>
    <w:rsid w:val="67A70DAF"/>
    <w:rsid w:val="6A8D4C80"/>
    <w:rsid w:val="6B346484"/>
    <w:rsid w:val="6F853E06"/>
    <w:rsid w:val="6FFA3A0B"/>
    <w:rsid w:val="71D10874"/>
    <w:rsid w:val="7C5E3E79"/>
    <w:rsid w:val="7D754155"/>
    <w:rsid w:val="7FDC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2024-02-01T19:11:59Z</dcterms:created>
  <dcterms:modified xsi:type="dcterms:W3CDTF">2024-02-01T11:11:59Z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2024-02-01T19:11:58Z</dcterms:created>
  <dcterms:modified xsi:type="dcterms:W3CDTF">2024-02-01T11:11:58Z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2024-02-01T19:11:56Z</dcterms:created>
  <dcterms:modified xsi:type="dcterms:W3CDTF">2024-02-01T11:11:56Z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2024-02-01T19:11:58Z</dcterms:created>
  <dcterms:modified xsi:type="dcterms:W3CDTF">2024-02-01T11:11:58Z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2024-02-01T19:11:57Z</dcterms:created>
  <dcterms:modified xsi:type="dcterms:W3CDTF">2024-02-01T11:11:57Z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2024-02-01T19:11:57Z</dcterms:created>
  <dcterms:modified xsi:type="dcterms:W3CDTF">2024-02-01T11:11:57Z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2024-02-01T19:11:56Z</dcterms:created>
  <dcterms:modified xsi:type="dcterms:W3CDTF">2024-02-01T11:11:56Z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2024-02-01T19:11:53Z</dcterms:created>
  <dcterms:modified xsi:type="dcterms:W3CDTF">2024-02-01T11:11:53Z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2024-02-01T19:11:56Z</dcterms:created>
  <dcterms:modified xsi:type="dcterms:W3CDTF">2024-02-01T11:11:56Z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2024-02-01T19:11:57Z</dcterms:created>
  <dcterms:modified xsi:type="dcterms:W3CDTF">2024-02-01T11:11:57Z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2024-02-01T19:11:59Z</dcterms:created>
  <dcterms:modified xsi:type="dcterms:W3CDTF">2024-02-01T11:11:59Z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2024-02-01T19:11:55Z</dcterms:created>
  <dcterms:modified xsi:type="dcterms:W3CDTF">2024-02-01T11:11:55Z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2024-02-01T19:11:58Z</dcterms:created>
  <dcterms:modified xsi:type="dcterms:W3CDTF">2024-02-01T11:11:58Z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2024-02-01T19:11:56Z</dcterms:created>
  <dcterms:modified xsi:type="dcterms:W3CDTF">2024-02-01T11:11:56Z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31AED4D-5210-436A-AC95-DB8D6B635649}">
  <ds:schemaRefs/>
</ds:datastoreItem>
</file>

<file path=customXml/itemProps11.xml><?xml version="1.0" encoding="utf-8"?>
<ds:datastoreItem xmlns:ds="http://schemas.openxmlformats.org/officeDocument/2006/customXml" ds:itemID="{9C335541-CB7C-42F1-A065-603DDA458650}">
  <ds:schemaRefs/>
</ds:datastoreItem>
</file>

<file path=customXml/itemProps12.xml><?xml version="1.0" encoding="utf-8"?>
<ds:datastoreItem xmlns:ds="http://schemas.openxmlformats.org/officeDocument/2006/customXml" ds:itemID="{67283BEF-E5A0-4B28-8DB9-EC3982C175DF}">
  <ds:schemaRefs/>
</ds:datastoreItem>
</file>

<file path=customXml/itemProps13.xml><?xml version="1.0" encoding="utf-8"?>
<ds:datastoreItem xmlns:ds="http://schemas.openxmlformats.org/officeDocument/2006/customXml" ds:itemID="{CEF694D1-BA2A-4475-AC05-A7BE918EFFDE}">
  <ds:schemaRefs/>
</ds:datastoreItem>
</file>

<file path=customXml/itemProps14.xml><?xml version="1.0" encoding="utf-8"?>
<ds:datastoreItem xmlns:ds="http://schemas.openxmlformats.org/officeDocument/2006/customXml" ds:itemID="{07474C19-C972-40D3-8182-8BF862384CCD}">
  <ds:schemaRefs/>
</ds:datastoreItem>
</file>

<file path=customXml/itemProps15.xml><?xml version="1.0" encoding="utf-8"?>
<ds:datastoreItem xmlns:ds="http://schemas.openxmlformats.org/officeDocument/2006/customXml" ds:itemID="{9E3E4163-B508-46C6-82C0-0424FFB88575}">
  <ds:schemaRefs/>
</ds:datastoreItem>
</file>

<file path=customXml/itemProps16.xml><?xml version="1.0" encoding="utf-8"?>
<ds:datastoreItem xmlns:ds="http://schemas.openxmlformats.org/officeDocument/2006/customXml" ds:itemID="{1F93F8F3-5B57-4ED5-BB55-C9B8B4680D95}">
  <ds:schemaRefs/>
</ds:datastoreItem>
</file>

<file path=customXml/itemProps17.xml><?xml version="1.0" encoding="utf-8"?>
<ds:datastoreItem xmlns:ds="http://schemas.openxmlformats.org/officeDocument/2006/customXml" ds:itemID="{D1753F91-92A7-4B6B-8112-205809B7ED0E}">
  <ds:schemaRefs/>
</ds:datastoreItem>
</file>

<file path=customXml/itemProps18.xml><?xml version="1.0" encoding="utf-8"?>
<ds:datastoreItem xmlns:ds="http://schemas.openxmlformats.org/officeDocument/2006/customXml" ds:itemID="{2CD1A135-2378-4AAD-AD07-BA78E51B3F5A}">
  <ds:schemaRefs/>
</ds:datastoreItem>
</file>

<file path=customXml/itemProps19.xml><?xml version="1.0" encoding="utf-8"?>
<ds:datastoreItem xmlns:ds="http://schemas.openxmlformats.org/officeDocument/2006/customXml" ds:itemID="{1113B95B-C781-4205-8622-4D4CB7CBFC87}">
  <ds:schemaRefs/>
</ds:datastoreItem>
</file>

<file path=customXml/itemProps2.xml><?xml version="1.0" encoding="utf-8"?>
<ds:datastoreItem xmlns:ds="http://schemas.openxmlformats.org/officeDocument/2006/customXml" ds:itemID="{F1251937-7033-469D-AE65-460F2389D011}">
  <ds:schemaRefs/>
</ds:datastoreItem>
</file>

<file path=customXml/itemProps20.xml><?xml version="1.0" encoding="utf-8"?>
<ds:datastoreItem xmlns:ds="http://schemas.openxmlformats.org/officeDocument/2006/customXml" ds:itemID="{AA63347B-B1C2-410A-B3FE-97B8580182D1}">
  <ds:schemaRefs/>
</ds:datastoreItem>
</file>

<file path=customXml/itemProps21.xml><?xml version="1.0" encoding="utf-8"?>
<ds:datastoreItem xmlns:ds="http://schemas.openxmlformats.org/officeDocument/2006/customXml" ds:itemID="{2878A5DB-80E6-4A7E-A356-4395A28C65AF}">
  <ds:schemaRefs/>
</ds:datastoreItem>
</file>

<file path=customXml/itemProps22.xml><?xml version="1.0" encoding="utf-8"?>
<ds:datastoreItem xmlns:ds="http://schemas.openxmlformats.org/officeDocument/2006/customXml" ds:itemID="{70BB1283-B910-4E88-9DE9-8B0EB7761A35}">
  <ds:schemaRefs/>
</ds:datastoreItem>
</file>

<file path=customXml/itemProps23.xml><?xml version="1.0" encoding="utf-8"?>
<ds:datastoreItem xmlns:ds="http://schemas.openxmlformats.org/officeDocument/2006/customXml" ds:itemID="{6063EC0D-37B9-41BC-89F0-1B2C24D8A4C9}">
  <ds:schemaRefs/>
</ds:datastoreItem>
</file>

<file path=customXml/itemProps24.xml><?xml version="1.0" encoding="utf-8"?>
<ds:datastoreItem xmlns:ds="http://schemas.openxmlformats.org/officeDocument/2006/customXml" ds:itemID="{8BB5D663-8192-4369-B9D4-2520A450CB7C}">
  <ds:schemaRefs/>
</ds:datastoreItem>
</file>

<file path=customXml/itemProps25.xml><?xml version="1.0" encoding="utf-8"?>
<ds:datastoreItem xmlns:ds="http://schemas.openxmlformats.org/officeDocument/2006/customXml" ds:itemID="{3C2E5D86-8CC8-46DF-B5D8-DD8EE9D1DF5C}">
  <ds:schemaRefs/>
</ds:datastoreItem>
</file>

<file path=customXml/itemProps26.xml><?xml version="1.0" encoding="utf-8"?>
<ds:datastoreItem xmlns:ds="http://schemas.openxmlformats.org/officeDocument/2006/customXml" ds:itemID="{5D387A7D-6F0D-4FF7-8B88-CDB0308B92A6}">
  <ds:schemaRefs/>
</ds:datastoreItem>
</file>

<file path=customXml/itemProps27.xml><?xml version="1.0" encoding="utf-8"?>
<ds:datastoreItem xmlns:ds="http://schemas.openxmlformats.org/officeDocument/2006/customXml" ds:itemID="{0A18C079-95C5-42EB-8D01-1153773EC371}">
  <ds:schemaRefs/>
</ds:datastoreItem>
</file>

<file path=customXml/itemProps28.xml><?xml version="1.0" encoding="utf-8"?>
<ds:datastoreItem xmlns:ds="http://schemas.openxmlformats.org/officeDocument/2006/customXml" ds:itemID="{B1897960-04ED-4E81-9914-10EAE749084C}">
  <ds:schemaRefs/>
</ds:datastoreItem>
</file>

<file path=customXml/itemProps29.xml><?xml version="1.0" encoding="utf-8"?>
<ds:datastoreItem xmlns:ds="http://schemas.openxmlformats.org/officeDocument/2006/customXml" ds:itemID="{983F5518-6A9F-45EE-908F-612BAAB19FBF}">
  <ds:schemaRefs/>
</ds:datastoreItem>
</file>

<file path=customXml/itemProps3.xml><?xml version="1.0" encoding="utf-8"?>
<ds:datastoreItem xmlns:ds="http://schemas.openxmlformats.org/officeDocument/2006/customXml" ds:itemID="{E64425CF-FF92-45C8-A333-A9C8DE63AC88}">
  <ds:schemaRefs/>
</ds:datastoreItem>
</file>

<file path=customXml/itemProps4.xml><?xml version="1.0" encoding="utf-8"?>
<ds:datastoreItem xmlns:ds="http://schemas.openxmlformats.org/officeDocument/2006/customXml" ds:itemID="{BE3D9209-5D77-4F3A-8176-FC917F3F8520}">
  <ds:schemaRefs/>
</ds:datastoreItem>
</file>

<file path=customXml/itemProps5.xml><?xml version="1.0" encoding="utf-8"?>
<ds:datastoreItem xmlns:ds="http://schemas.openxmlformats.org/officeDocument/2006/customXml" ds:itemID="{A5D103B9-74CE-46AA-8220-3BFDE47D38A6}">
  <ds:schemaRefs/>
</ds:datastoreItem>
</file>

<file path=customXml/itemProps6.xml><?xml version="1.0" encoding="utf-8"?>
<ds:datastoreItem xmlns:ds="http://schemas.openxmlformats.org/officeDocument/2006/customXml" ds:itemID="{192B30BA-EEFC-4951-B537-3CCF18CB6798}">
  <ds:schemaRefs/>
</ds:datastoreItem>
</file>

<file path=customXml/itemProps7.xml><?xml version="1.0" encoding="utf-8"?>
<ds:datastoreItem xmlns:ds="http://schemas.openxmlformats.org/officeDocument/2006/customXml" ds:itemID="{84A1CF30-786A-407C-8035-E6C16377A2EA}">
  <ds:schemaRefs/>
</ds:datastoreItem>
</file>

<file path=customXml/itemProps8.xml><?xml version="1.0" encoding="utf-8"?>
<ds:datastoreItem xmlns:ds="http://schemas.openxmlformats.org/officeDocument/2006/customXml" ds:itemID="{C9AE8802-F9FB-44B9-9002-ECC2CF151AE7}">
  <ds:schemaRefs/>
</ds:datastoreItem>
</file>

<file path=customXml/itemProps9.xml><?xml version="1.0" encoding="utf-8"?>
<ds:datastoreItem xmlns:ds="http://schemas.openxmlformats.org/officeDocument/2006/customXml" ds:itemID="{4DC563F1-D00C-43A6-BC58-7FBA49CB3DE5}">
  <ds:schemaRefs/>
</ds:datastoreItem>
</file>

<file path=docProps/app.xml><?xml version="1.0" encoding="utf-8"?>
<Properties xmlns="http://schemas.openxmlformats.org/officeDocument/2006/extended-properties" xmlns:vt="http://schemas.openxmlformats.org/officeDocument/2006/docPropsVTypes">
  <Template>Normal</Template>
  <Pages>35</Pages>
  <Words>2868</Words>
  <Characters>16349</Characters>
  <Lines>136</Lines>
  <Paragraphs>38</Paragraphs>
  <TotalTime>8</TotalTime>
  <ScaleCrop>false</ScaleCrop>
  <LinksUpToDate>false</LinksUpToDate>
  <CharactersWithSpaces>19179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2024-02-01T11:11:00Z</dcterms:created>
  <dc:creator>Administrator</dc:creator>
  <cp:lastModifiedBy>正</cp:lastModifiedBy>
  <dcterms:modified xsi:type="dcterms:W3CDTF">2024-08-14T04:34:27Z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CFAA18FFAB044636B45D234D5E237143</vt:lpwstr>
  </property>
</Properties>
</file>