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276" w:lineRule="auto"/>
        <w:jc w:val="center"/>
        <w:rPr>
          <w:rFonts w:ascii="宋体" w:cs="Times New Roman"/>
          <w:b/>
          <w:bCs/>
          <w:w w:val="80"/>
          <w:sz w:val="68"/>
          <w:szCs w:val="68"/>
        </w:rPr>
      </w:pPr>
      <w:r>
        <w:rPr>
          <w:rFonts w:hint="eastAsia" w:ascii="宋体" w:hAnsi="宋体" w:cs="宋体"/>
          <w:b/>
          <w:bCs/>
          <w:w w:val="80"/>
          <w:sz w:val="68"/>
          <w:szCs w:val="68"/>
        </w:rPr>
        <w:t>广东宏正工程咨询有限公司</w:t>
      </w:r>
    </w:p>
    <w:p>
      <w:pPr>
        <w:spacing w:line="276" w:lineRule="auto"/>
        <w:rPr>
          <w:rFonts w:ascii="宋体" w:cs="Times New Roman"/>
          <w:b/>
          <w:bCs/>
          <w:sz w:val="28"/>
          <w:szCs w:val="28"/>
        </w:rPr>
      </w:pPr>
      <w:r>
        <w:pict>
          <v:line id="_x0000_s1026" o:spid="_x0000_s1026" o:spt="20" style="position:absolute;left:0pt;margin-left:9pt;margin-top:9pt;height:0pt;width:423pt;z-index:251659264;mso-width-relative:page;mso-height-relative:page;" stroked="t" coordsize="21600,21600" o:gfxdata="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yqnK0AAAAAgBAAAPAAAAAAAAAAEAIAAAACIAAABkcnMv&#10;ZG93bnJldi54bWxQSwECFAAUAAAACACHTuJAvGIUxdIBAACUAwAADgAAAAAAAAABACAAAAAfAQAA&#10;ZHJzL2Uyb0RvYy54bWxQSwUGAAAAAAYABgBZAQAAYwUAAAAA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Times New Roman" w:cs="宋体"/>
          <w:b/>
          <w:bCs/>
          <w:sz w:val="44"/>
          <w:szCs w:val="44"/>
          <w:lang w:eastAsia="zh-CN"/>
        </w:rPr>
      </w:pPr>
      <w:r>
        <w:rPr>
          <w:rFonts w:hint="eastAsia" w:ascii="宋体" w:hAnsi="Times New Roman" w:cs="宋体"/>
          <w:b/>
          <w:bCs/>
          <w:sz w:val="44"/>
          <w:szCs w:val="44"/>
          <w:lang w:eastAsia="zh-CN"/>
        </w:rPr>
        <w:t>珠海市中级人民法院多元调解中心</w:t>
      </w:r>
    </w:p>
    <w:p>
      <w:pPr>
        <w:adjustRightInd w:val="0"/>
        <w:snapToGrid w:val="0"/>
        <w:spacing w:line="276" w:lineRule="auto"/>
        <w:jc w:val="center"/>
        <w:rPr>
          <w:rFonts w:ascii="宋体" w:hAnsi="Times New Roman" w:cs="Times New Roman"/>
          <w:b/>
          <w:bCs/>
          <w:sz w:val="44"/>
          <w:szCs w:val="44"/>
        </w:rPr>
      </w:pPr>
      <w:r>
        <w:rPr>
          <w:rFonts w:hint="eastAsia" w:ascii="宋体" w:hAnsi="Times New Roman" w:cs="宋体"/>
          <w:b/>
          <w:bCs/>
          <w:sz w:val="44"/>
          <w:szCs w:val="44"/>
        </w:rPr>
        <w:t>预算编制报告</w:t>
      </w:r>
    </w:p>
    <w:p>
      <w:pPr>
        <w:tabs>
          <w:tab w:val="left" w:pos="900"/>
          <w:tab w:val="left" w:pos="1080"/>
        </w:tabs>
        <w:spacing w:line="276" w:lineRule="auto"/>
        <w:ind w:firstLine="4200" w:firstLineChars="1500"/>
        <w:jc w:val="righ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广宏高字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  <w:t>[202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  <w:t>]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号</w:t>
      </w:r>
    </w:p>
    <w:p>
      <w:pPr>
        <w:tabs>
          <w:tab w:val="left" w:pos="1080"/>
        </w:tabs>
        <w:spacing w:beforeLines="50" w:line="276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广东省珠海市中级人民法院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>
      <w:pPr>
        <w:tabs>
          <w:tab w:val="left" w:pos="900"/>
          <w:tab w:val="left" w:pos="1080"/>
        </w:tabs>
        <w:spacing w:line="560" w:lineRule="exact"/>
        <w:ind w:firstLine="557" w:firstLineChars="199"/>
        <w:rPr>
          <w:rFonts w:ascii="仿宋" w:hAnsi="仿宋" w:eastAsia="仿宋" w:cs="Times New Roman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我公司接受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贵司</w:t>
      </w:r>
      <w:r>
        <w:rPr>
          <w:rFonts w:hint="eastAsia" w:ascii="仿宋" w:hAnsi="仿宋" w:eastAsia="仿宋" w:cs="仿宋_GB2312"/>
          <w:sz w:val="28"/>
          <w:szCs w:val="28"/>
        </w:rPr>
        <w:t>委托，遵循客观性、公正性和科学性原则，根据工程的专业特点和实际情况，围绕项目的工程量、综合单价、材料单价、计费程序等方面，实事求是地对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珠海市中级人民法院多元调解中心</w:t>
      </w:r>
      <w:r>
        <w:rPr>
          <w:rFonts w:hint="eastAsia" w:ascii="仿宋" w:hAnsi="仿宋" w:eastAsia="仿宋" w:cs="仿宋_GB2312"/>
          <w:sz w:val="28"/>
          <w:szCs w:val="28"/>
        </w:rPr>
        <w:t>进行了预算编制，现将编制情况报告如下：</w:t>
      </w:r>
    </w:p>
    <w:p>
      <w:pPr>
        <w:tabs>
          <w:tab w:val="left" w:pos="1080"/>
        </w:tabs>
        <w:spacing w:beforeLines="50" w:line="276" w:lineRule="auto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一、工程概况</w:t>
      </w:r>
    </w:p>
    <w:p>
      <w:pPr>
        <w:tabs>
          <w:tab w:val="left" w:pos="900"/>
          <w:tab w:val="left" w:pos="1080"/>
        </w:tabs>
        <w:spacing w:line="276" w:lineRule="auto"/>
        <w:rPr>
          <w:rFonts w:ascii="仿宋" w:hAnsi="仿宋" w:eastAsia="仿宋" w:cs="Times New Roman"/>
          <w:b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snapToGrid w:val="0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_GB2312"/>
          <w:b/>
          <w:sz w:val="28"/>
          <w:szCs w:val="28"/>
        </w:rPr>
        <w:t>工程范围和主要内容</w:t>
      </w:r>
      <w:r>
        <w:rPr>
          <w:rFonts w:ascii="仿宋" w:hAnsi="仿宋" w:eastAsia="仿宋" w:cs="Times New Roman"/>
          <w:b/>
          <w:snapToGrid w:val="0"/>
          <w:kern w:val="0"/>
          <w:sz w:val="28"/>
          <w:szCs w:val="28"/>
        </w:rPr>
        <w:t xml:space="preserve"> </w:t>
      </w:r>
      <w:bookmarkStart w:id="1" w:name="_GoBack"/>
      <w:bookmarkEnd w:id="1"/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1、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工程名称：珠海市中级人民法院多元调解中心。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2、建设地点：广东省珠海市人民法院一层。</w:t>
      </w:r>
    </w:p>
    <w:p>
      <w:pPr>
        <w:tabs>
          <w:tab w:val="left" w:pos="900"/>
          <w:tab w:val="left" w:pos="1080"/>
        </w:tabs>
        <w:spacing w:line="276" w:lineRule="auto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主要内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容：本工程的主要内容为珠海市中级人民法院多元调解中心，包括装饰工程、电气工程、消防工程、空调工程等；具体内容，详见预算书。</w:t>
      </w:r>
    </w:p>
    <w:p>
      <w:pPr>
        <w:tabs>
          <w:tab w:val="left" w:pos="900"/>
          <w:tab w:val="left" w:pos="1080"/>
        </w:tabs>
        <w:spacing w:line="276" w:lineRule="auto"/>
        <w:rPr>
          <w:rFonts w:ascii="仿宋" w:hAnsi="仿宋" w:eastAsia="仿宋" w:cs="仿宋_GB2312"/>
          <w:b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snapToGrid w:val="0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_GB2312"/>
          <w:b/>
          <w:sz w:val="28"/>
          <w:szCs w:val="28"/>
        </w:rPr>
        <w:t>实施单位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1、委托单位：广东省珠海市中级人民法院。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2、建设单位：广东省珠海市中级人民法院。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3、设计单位：广东建艺设计有限公司。</w:t>
      </w:r>
    </w:p>
    <w:p>
      <w:pPr>
        <w:tabs>
          <w:tab w:val="left" w:pos="1080"/>
        </w:tabs>
        <w:spacing w:beforeLines="50" w:line="276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二、预算编制依据</w:t>
      </w:r>
    </w:p>
    <w:p>
      <w:pPr>
        <w:tabs>
          <w:tab w:val="left" w:pos="900"/>
          <w:tab w:val="left" w:pos="1080"/>
        </w:tabs>
        <w:spacing w:line="276" w:lineRule="auto"/>
        <w:rPr>
          <w:rFonts w:ascii="仿宋" w:hAnsi="仿宋" w:eastAsia="仿宋" w:cs="Times New Roman"/>
          <w:b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snapToGrid w:val="0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_GB2312"/>
          <w:b/>
          <w:sz w:val="28"/>
          <w:szCs w:val="28"/>
        </w:rPr>
        <w:t>委托单位提供的</w:t>
      </w:r>
      <w:r>
        <w:rPr>
          <w:rFonts w:hint="eastAsia" w:ascii="仿宋" w:hAnsi="仿宋" w:eastAsia="仿宋" w:cs="仿宋_GB2312"/>
          <w:b/>
          <w:snapToGrid w:val="0"/>
          <w:kern w:val="0"/>
          <w:sz w:val="28"/>
          <w:szCs w:val="28"/>
        </w:rPr>
        <w:t>资料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1、设计图纸（2024.08）。</w:t>
      </w:r>
    </w:p>
    <w:p>
      <w:pPr>
        <w:tabs>
          <w:tab w:val="left" w:pos="900"/>
          <w:tab w:val="left" w:pos="1080"/>
        </w:tabs>
        <w:spacing w:line="276" w:lineRule="auto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（二）执行的规范、定额、计价文件及取费标准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、《建设工程工程量清单计价规范》（GB 50500-2013）、《房屋建筑与装饰工程工程量计算规范》（GB 50854-2013）、</w:t>
      </w:r>
      <w:r>
        <w:rPr>
          <w:rFonts w:hint="eastAsia" w:ascii="仿宋" w:hAnsi="仿宋" w:eastAsia="仿宋" w:cs="仿宋_GB2312"/>
          <w:sz w:val="28"/>
          <w:szCs w:val="28"/>
        </w:rPr>
        <w:t>《通用安装工程工程量计算规范》（</w:t>
      </w:r>
      <w:r>
        <w:rPr>
          <w:rFonts w:ascii="仿宋" w:hAnsi="仿宋" w:eastAsia="仿宋" w:cs="仿宋_GB2312"/>
          <w:sz w:val="28"/>
          <w:szCs w:val="28"/>
        </w:rPr>
        <w:t>GB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50</w:t>
      </w:r>
      <w:r>
        <w:rPr>
          <w:rFonts w:hint="eastAsia" w:ascii="仿宋" w:hAnsi="仿宋" w:eastAsia="仿宋" w:cs="仿宋_GB2312"/>
          <w:sz w:val="28"/>
          <w:szCs w:val="28"/>
        </w:rPr>
        <w:t>856</w:t>
      </w:r>
      <w:r>
        <w:rPr>
          <w:rFonts w:ascii="仿宋" w:hAnsi="仿宋" w:eastAsia="仿宋" w:cs="仿宋_GB2312"/>
          <w:sz w:val="28"/>
          <w:szCs w:val="28"/>
        </w:rPr>
        <w:t>-2013</w:t>
      </w:r>
      <w:r>
        <w:rPr>
          <w:rFonts w:hint="eastAsia" w:ascii="仿宋" w:hAnsi="仿宋" w:eastAsia="仿宋" w:cs="仿宋_GB2312"/>
          <w:sz w:val="28"/>
          <w:szCs w:val="28"/>
        </w:rPr>
        <w:t>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2、《广东省房屋建筑与装饰工程综合定额（2018）》。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_GB2312"/>
          <w:sz w:val="28"/>
          <w:szCs w:val="28"/>
        </w:rPr>
        <w:t>《广东省通用安装工程综合定额（</w:t>
      </w:r>
      <w:r>
        <w:rPr>
          <w:rFonts w:ascii="仿宋" w:hAnsi="仿宋" w:eastAsia="仿宋" w:cs="仿宋_GB2312"/>
          <w:sz w:val="28"/>
          <w:szCs w:val="28"/>
        </w:rPr>
        <w:t>201</w:t>
      </w:r>
      <w:r>
        <w:rPr>
          <w:rFonts w:hint="eastAsia" w:ascii="仿宋" w:hAnsi="仿宋" w:eastAsia="仿宋" w:cs="仿宋_GB2312"/>
          <w:sz w:val="28"/>
          <w:szCs w:val="28"/>
        </w:rPr>
        <w:t>8）》。</w:t>
      </w:r>
    </w:p>
    <w:p>
      <w:pPr>
        <w:tabs>
          <w:tab w:val="left" w:pos="900"/>
          <w:tab w:val="left" w:pos="1080"/>
        </w:tabs>
        <w:spacing w:line="276" w:lineRule="auto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none"/>
        </w:rPr>
        <w:t>《广东省建设工程施工机具台班费用编制规则（2018）》。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5、管理费采用动态方式，随计费基数（人工费+施工机具费）的价格变动而变动，并不再划分地区类别。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_GB2312"/>
          <w:sz w:val="28"/>
          <w:szCs w:val="28"/>
        </w:rPr>
        <w:t>利润的计取基数为（人工费+施工机具费），费率为20%。</w:t>
      </w:r>
    </w:p>
    <w:p>
      <w:pPr>
        <w:tabs>
          <w:tab w:val="left" w:pos="900"/>
          <w:tab w:val="left" w:pos="1080"/>
        </w:tabs>
        <w:spacing w:line="276" w:lineRule="auto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_GB2312"/>
          <w:sz w:val="28"/>
          <w:szCs w:val="28"/>
        </w:rPr>
        <w:t>绿色施工安全防护措施费以专业工程类型区分不同费率计算，房屋建筑与装饰工程按分部分项工程的（人工费+施工机具费）×1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%计算，通用安装工程按分部分项工程的（人工费+施工机具费）×35.77%计算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none"/>
        </w:rPr>
        <w:t>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_GB2312"/>
          <w:sz w:val="28"/>
          <w:szCs w:val="28"/>
        </w:rPr>
        <w:t>预算包干费以工程分类区分不同费率计算，房屋建筑与装饰工程按分部分项工程的（人工费+施工机具费）×7%计算，通用安装工程按分部分项工程的（人工费+施工机具费）×10%计算。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9、本工程采用一般计税方法计税，增值税销项税额按9%计取。</w:t>
      </w:r>
    </w:p>
    <w:p>
      <w:pPr>
        <w:tabs>
          <w:tab w:val="left" w:pos="900"/>
          <w:tab w:val="left" w:pos="1080"/>
        </w:tabs>
        <w:spacing w:line="276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（三）人工单价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定额动态人工调整系数为1.08。</w:t>
      </w:r>
    </w:p>
    <w:p>
      <w:pPr>
        <w:spacing w:line="276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（四）材料价格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执行2024年《珠海工程造价信息》7月份的信息价，信息价没有的材料价格参考市场价，参考的信息价和市场价已扣除相关税费。</w:t>
      </w:r>
    </w:p>
    <w:p>
      <w:pPr>
        <w:tabs>
          <w:tab w:val="left" w:pos="1080"/>
        </w:tabs>
        <w:spacing w:beforeLines="50" w:line="276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三、编制过程中存在的主要问题及处理意见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1、废料外运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运距按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公里计取。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2、本预算各子项的项目特征已包含主要的工作内容，未详细的见图纸或修改文件，未考虑设计变更带来的造价变动，结算时按实际发生量结合招标文件、施工合同条款进行调整。</w:t>
      </w:r>
    </w:p>
    <w:p>
      <w:pPr>
        <w:tabs>
          <w:tab w:val="left" w:pos="900"/>
          <w:tab w:val="left" w:pos="1080"/>
        </w:tabs>
        <w:spacing w:line="276" w:lineRule="auto"/>
        <w:ind w:firstLine="557" w:firstLineChars="199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3、本预算编制是在委托单位提供的相关资料基础上进行的，委托单位对资料的真实性、完整性和有效性负责。各方一经盖章，即视为认可本报告内容。</w:t>
      </w:r>
    </w:p>
    <w:p>
      <w:pPr>
        <w:tabs>
          <w:tab w:val="left" w:pos="1080"/>
        </w:tabs>
        <w:spacing w:beforeLines="50" w:line="276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四、编制结果</w:t>
      </w:r>
    </w:p>
    <w:p>
      <w:pPr>
        <w:spacing w:line="276" w:lineRule="auto"/>
        <w:ind w:firstLine="800" w:firstLineChars="250"/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  <w:t>编制金额：649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  <w:t>940.36元（其中：绿色施工安全防护措施费35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  <w:t>615.28元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  <w:t>人工费135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  <w:t>992.59元）</w:t>
      </w:r>
    </w:p>
    <w:p>
      <w:pPr>
        <w:spacing w:line="276" w:lineRule="auto"/>
        <w:ind w:firstLine="800" w:firstLineChars="250"/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</w:rPr>
        <w:t>大   写：</w:t>
      </w:r>
      <w:r>
        <w:rPr>
          <w:rFonts w:hint="eastAsia" w:ascii="仿宋" w:hAnsi="仿宋" w:eastAsia="仿宋"/>
          <w:snapToGrid w:val="0"/>
          <w:color w:val="auto"/>
          <w:spacing w:val="20"/>
          <w:kern w:val="0"/>
          <w:sz w:val="28"/>
          <w:szCs w:val="28"/>
          <w:lang w:val="en-US" w:eastAsia="zh-CN"/>
        </w:rPr>
        <w:t>陆拾肆万玖仟玖佰肆拾元叁角陆分</w:t>
      </w:r>
    </w:p>
    <w:p>
      <w:pPr>
        <w:tabs>
          <w:tab w:val="left" w:pos="900"/>
          <w:tab w:val="left" w:pos="1080"/>
        </w:tabs>
        <w:spacing w:line="276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附件：1、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珠海市中级人民法院多元调解中心</w:t>
      </w:r>
      <w:r>
        <w:rPr>
          <w:rFonts w:hint="eastAsia" w:ascii="仿宋" w:hAnsi="仿宋" w:eastAsia="仿宋" w:cs="仿宋_GB2312"/>
          <w:sz w:val="28"/>
          <w:szCs w:val="28"/>
        </w:rPr>
        <w:t>预算书</w:t>
      </w:r>
    </w:p>
    <w:p>
      <w:pPr>
        <w:spacing w:line="276" w:lineRule="auto"/>
        <w:rPr>
          <w:rFonts w:hint="eastAsia" w:ascii="仿宋" w:hAnsi="仿宋" w:eastAsia="仿宋"/>
          <w:spacing w:val="60"/>
          <w:kern w:val="0"/>
          <w:sz w:val="28"/>
          <w:szCs w:val="28"/>
        </w:rPr>
      </w:pPr>
    </w:p>
    <w:p>
      <w:pPr>
        <w:spacing w:line="276" w:lineRule="auto"/>
        <w:ind w:firstLine="5200" w:firstLineChars="1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60"/>
          <w:kern w:val="0"/>
          <w:sz w:val="28"/>
          <w:szCs w:val="28"/>
        </w:rPr>
        <w:t>编制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：夏敏杰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、李世杰</w:t>
      </w:r>
    </w:p>
    <w:p>
      <w:pPr>
        <w:spacing w:line="276" w:lineRule="auto"/>
        <w:ind w:firstLine="520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60"/>
          <w:kern w:val="0"/>
          <w:sz w:val="28"/>
          <w:szCs w:val="28"/>
        </w:rPr>
        <w:t>复核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：林海胜</w:t>
      </w:r>
    </w:p>
    <w:p>
      <w:pPr>
        <w:spacing w:line="276" w:lineRule="auto"/>
        <w:ind w:firstLine="520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60"/>
          <w:kern w:val="0"/>
          <w:sz w:val="28"/>
          <w:szCs w:val="28"/>
        </w:rPr>
        <w:t>审定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：黄国忠</w:t>
      </w:r>
    </w:p>
    <w:p>
      <w:pPr>
        <w:tabs>
          <w:tab w:val="left" w:pos="1080"/>
        </w:tabs>
        <w:spacing w:beforeLines="50" w:line="276" w:lineRule="auto"/>
        <w:ind w:right="480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广东宏正工程咨询有限公司</w:t>
      </w:r>
    </w:p>
    <w:p>
      <w:pPr>
        <w:tabs>
          <w:tab w:val="left" w:pos="1080"/>
        </w:tabs>
        <w:wordWrap w:val="0"/>
        <w:spacing w:beforeLines="50" w:line="276" w:lineRule="auto"/>
        <w:ind w:right="640" w:firstLine="4340" w:firstLineChars="1550"/>
        <w:jc w:val="center"/>
        <w:rPr>
          <w:rFonts w:ascii="仿宋" w:hAnsi="仿宋" w:eastAsia="仿宋" w:cs="仿宋_GB2312"/>
          <w:sz w:val="28"/>
          <w:szCs w:val="28"/>
        </w:rPr>
      </w:pPr>
      <w:bookmarkStart w:id="0" w:name="OLE_LINK14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 xml:space="preserve">年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 xml:space="preserve"> 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14 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  <w:bookmarkEnd w:id="0"/>
    </w:p>
    <w:sectPr>
      <w:footerReference r:id="rId3" w:type="default"/>
      <w:pgSz w:w="11906" w:h="16838"/>
      <w:pgMar w:top="1418" w:right="1418" w:bottom="1134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rFonts w:hint="eastAsia" w:cs="宋体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 w:cs="宋体"/>
        <w:kern w:val="0"/>
      </w:rPr>
      <w:t>页</w:t>
    </w:r>
    <w:r>
      <w:rPr>
        <w:kern w:val="0"/>
      </w:rPr>
      <w:t xml:space="preserve"> </w:t>
    </w:r>
    <w:r>
      <w:rPr>
        <w:rFonts w:hint="eastAsia" w:cs="宋体"/>
        <w:kern w:val="0"/>
      </w:rPr>
      <w:t>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 w:cs="宋体"/>
        <w:kern w:val="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xYWVkNzVjODMxNWQxNjJlNTU0NTg3MTkxMjVhMWQifQ=="/>
    <w:docVar w:name="KSO_WPS_MARK_KEY" w:val="282d4dd0-0115-4ac3-9a0c-86e2e518336f"/>
  </w:docVars>
  <w:rsids>
    <w:rsidRoot w:val="009150B6"/>
    <w:rsid w:val="00007102"/>
    <w:rsid w:val="000138EA"/>
    <w:rsid w:val="00014E53"/>
    <w:rsid w:val="000269CB"/>
    <w:rsid w:val="0004037B"/>
    <w:rsid w:val="00042714"/>
    <w:rsid w:val="00043534"/>
    <w:rsid w:val="000465EE"/>
    <w:rsid w:val="00062B79"/>
    <w:rsid w:val="00072E89"/>
    <w:rsid w:val="00080986"/>
    <w:rsid w:val="00081653"/>
    <w:rsid w:val="000830F1"/>
    <w:rsid w:val="00083621"/>
    <w:rsid w:val="00091F59"/>
    <w:rsid w:val="0009569E"/>
    <w:rsid w:val="000960D7"/>
    <w:rsid w:val="000A53B0"/>
    <w:rsid w:val="000B659E"/>
    <w:rsid w:val="000B718E"/>
    <w:rsid w:val="000C3695"/>
    <w:rsid w:val="000C62DB"/>
    <w:rsid w:val="000C69DD"/>
    <w:rsid w:val="000D349F"/>
    <w:rsid w:val="000E782A"/>
    <w:rsid w:val="0010169C"/>
    <w:rsid w:val="00107CA5"/>
    <w:rsid w:val="001102D8"/>
    <w:rsid w:val="00112E84"/>
    <w:rsid w:val="001131E0"/>
    <w:rsid w:val="0012386B"/>
    <w:rsid w:val="0013191F"/>
    <w:rsid w:val="00132E02"/>
    <w:rsid w:val="00133FF0"/>
    <w:rsid w:val="001373AD"/>
    <w:rsid w:val="00140411"/>
    <w:rsid w:val="001558A9"/>
    <w:rsid w:val="00161A3F"/>
    <w:rsid w:val="00165061"/>
    <w:rsid w:val="00167364"/>
    <w:rsid w:val="00167A13"/>
    <w:rsid w:val="0017070D"/>
    <w:rsid w:val="00170F80"/>
    <w:rsid w:val="0018377B"/>
    <w:rsid w:val="0018463F"/>
    <w:rsid w:val="001A0824"/>
    <w:rsid w:val="001A3C0B"/>
    <w:rsid w:val="001A6107"/>
    <w:rsid w:val="001A70D2"/>
    <w:rsid w:val="001B06EB"/>
    <w:rsid w:val="001F1EC8"/>
    <w:rsid w:val="001F2642"/>
    <w:rsid w:val="00200779"/>
    <w:rsid w:val="002051B4"/>
    <w:rsid w:val="002141F6"/>
    <w:rsid w:val="00217D87"/>
    <w:rsid w:val="00221FE2"/>
    <w:rsid w:val="00232942"/>
    <w:rsid w:val="00251493"/>
    <w:rsid w:val="002558EF"/>
    <w:rsid w:val="00256E44"/>
    <w:rsid w:val="00291E01"/>
    <w:rsid w:val="002A5807"/>
    <w:rsid w:val="002B308D"/>
    <w:rsid w:val="002B5689"/>
    <w:rsid w:val="002B7AC9"/>
    <w:rsid w:val="002D2E5A"/>
    <w:rsid w:val="00300617"/>
    <w:rsid w:val="00305F6D"/>
    <w:rsid w:val="003120D6"/>
    <w:rsid w:val="0032799C"/>
    <w:rsid w:val="003306F5"/>
    <w:rsid w:val="00340D7C"/>
    <w:rsid w:val="003439EF"/>
    <w:rsid w:val="00345EE4"/>
    <w:rsid w:val="00361982"/>
    <w:rsid w:val="00367330"/>
    <w:rsid w:val="0037558C"/>
    <w:rsid w:val="00375793"/>
    <w:rsid w:val="00376242"/>
    <w:rsid w:val="003A574D"/>
    <w:rsid w:val="003A591F"/>
    <w:rsid w:val="003C106B"/>
    <w:rsid w:val="003C132A"/>
    <w:rsid w:val="003D7AC5"/>
    <w:rsid w:val="003E5A9B"/>
    <w:rsid w:val="003F165A"/>
    <w:rsid w:val="00401C40"/>
    <w:rsid w:val="00403EAA"/>
    <w:rsid w:val="0040779B"/>
    <w:rsid w:val="00414BDA"/>
    <w:rsid w:val="00416737"/>
    <w:rsid w:val="00430892"/>
    <w:rsid w:val="004346F6"/>
    <w:rsid w:val="0043471F"/>
    <w:rsid w:val="00435711"/>
    <w:rsid w:val="00463486"/>
    <w:rsid w:val="0047745E"/>
    <w:rsid w:val="004832FB"/>
    <w:rsid w:val="00484131"/>
    <w:rsid w:val="004B20AF"/>
    <w:rsid w:val="004B487B"/>
    <w:rsid w:val="004B71D7"/>
    <w:rsid w:val="004C4061"/>
    <w:rsid w:val="004D3DEC"/>
    <w:rsid w:val="004E1D46"/>
    <w:rsid w:val="004F2AAF"/>
    <w:rsid w:val="004F4BA0"/>
    <w:rsid w:val="004F69F6"/>
    <w:rsid w:val="004F6F9F"/>
    <w:rsid w:val="00504640"/>
    <w:rsid w:val="0050522E"/>
    <w:rsid w:val="00522784"/>
    <w:rsid w:val="005356DB"/>
    <w:rsid w:val="00536717"/>
    <w:rsid w:val="0054205E"/>
    <w:rsid w:val="00543E0B"/>
    <w:rsid w:val="00556CDB"/>
    <w:rsid w:val="00557510"/>
    <w:rsid w:val="00574ED0"/>
    <w:rsid w:val="00577833"/>
    <w:rsid w:val="00593F1F"/>
    <w:rsid w:val="005A0D70"/>
    <w:rsid w:val="005A6477"/>
    <w:rsid w:val="005B66C2"/>
    <w:rsid w:val="005C688F"/>
    <w:rsid w:val="005D0AD1"/>
    <w:rsid w:val="005D42E7"/>
    <w:rsid w:val="005E21FD"/>
    <w:rsid w:val="005E27D6"/>
    <w:rsid w:val="005F249B"/>
    <w:rsid w:val="00603B26"/>
    <w:rsid w:val="006048F1"/>
    <w:rsid w:val="00604E58"/>
    <w:rsid w:val="00617B91"/>
    <w:rsid w:val="0062011A"/>
    <w:rsid w:val="006250E1"/>
    <w:rsid w:val="00641DED"/>
    <w:rsid w:val="00643326"/>
    <w:rsid w:val="0065797F"/>
    <w:rsid w:val="00674563"/>
    <w:rsid w:val="00674B0E"/>
    <w:rsid w:val="0068204D"/>
    <w:rsid w:val="00682D46"/>
    <w:rsid w:val="00684B0C"/>
    <w:rsid w:val="0069219C"/>
    <w:rsid w:val="006B0A38"/>
    <w:rsid w:val="006B1260"/>
    <w:rsid w:val="006B709B"/>
    <w:rsid w:val="006C03A9"/>
    <w:rsid w:val="006D4C24"/>
    <w:rsid w:val="006E599F"/>
    <w:rsid w:val="006E63DB"/>
    <w:rsid w:val="006F1BCB"/>
    <w:rsid w:val="0071468F"/>
    <w:rsid w:val="00714FF7"/>
    <w:rsid w:val="007163A4"/>
    <w:rsid w:val="007276E9"/>
    <w:rsid w:val="00735FA8"/>
    <w:rsid w:val="00741B67"/>
    <w:rsid w:val="007526A0"/>
    <w:rsid w:val="0075508D"/>
    <w:rsid w:val="007560E0"/>
    <w:rsid w:val="0077402F"/>
    <w:rsid w:val="00782932"/>
    <w:rsid w:val="007B1508"/>
    <w:rsid w:val="007B2C52"/>
    <w:rsid w:val="007B3C01"/>
    <w:rsid w:val="007C441D"/>
    <w:rsid w:val="007D589C"/>
    <w:rsid w:val="007E0D42"/>
    <w:rsid w:val="007E13E4"/>
    <w:rsid w:val="007E6809"/>
    <w:rsid w:val="00802064"/>
    <w:rsid w:val="0080269E"/>
    <w:rsid w:val="008116ED"/>
    <w:rsid w:val="00812BCD"/>
    <w:rsid w:val="00813801"/>
    <w:rsid w:val="00822378"/>
    <w:rsid w:val="00832208"/>
    <w:rsid w:val="008330EC"/>
    <w:rsid w:val="00834298"/>
    <w:rsid w:val="00841192"/>
    <w:rsid w:val="0084232A"/>
    <w:rsid w:val="00852F35"/>
    <w:rsid w:val="008667E6"/>
    <w:rsid w:val="00881AB5"/>
    <w:rsid w:val="00885178"/>
    <w:rsid w:val="0088765C"/>
    <w:rsid w:val="00890073"/>
    <w:rsid w:val="00896549"/>
    <w:rsid w:val="00896B26"/>
    <w:rsid w:val="008A5509"/>
    <w:rsid w:val="008B195C"/>
    <w:rsid w:val="008C5FE1"/>
    <w:rsid w:val="008C64EF"/>
    <w:rsid w:val="008C6725"/>
    <w:rsid w:val="008D4C57"/>
    <w:rsid w:val="008D559B"/>
    <w:rsid w:val="008D7DCC"/>
    <w:rsid w:val="008E0E15"/>
    <w:rsid w:val="008E3767"/>
    <w:rsid w:val="008E4AA5"/>
    <w:rsid w:val="008F0298"/>
    <w:rsid w:val="00903AA7"/>
    <w:rsid w:val="009150B6"/>
    <w:rsid w:val="00922350"/>
    <w:rsid w:val="009366B2"/>
    <w:rsid w:val="009416B1"/>
    <w:rsid w:val="009660EC"/>
    <w:rsid w:val="00967B48"/>
    <w:rsid w:val="009744F7"/>
    <w:rsid w:val="00976FAE"/>
    <w:rsid w:val="009771FD"/>
    <w:rsid w:val="00991F76"/>
    <w:rsid w:val="0099240C"/>
    <w:rsid w:val="009952B2"/>
    <w:rsid w:val="009A195E"/>
    <w:rsid w:val="009C2A68"/>
    <w:rsid w:val="009C4463"/>
    <w:rsid w:val="009C589C"/>
    <w:rsid w:val="009F2B61"/>
    <w:rsid w:val="009F7280"/>
    <w:rsid w:val="00A00027"/>
    <w:rsid w:val="00A03C30"/>
    <w:rsid w:val="00A06A98"/>
    <w:rsid w:val="00A06C3E"/>
    <w:rsid w:val="00A070B7"/>
    <w:rsid w:val="00A17855"/>
    <w:rsid w:val="00A23013"/>
    <w:rsid w:val="00A27DAE"/>
    <w:rsid w:val="00A50D3B"/>
    <w:rsid w:val="00A53C61"/>
    <w:rsid w:val="00A6496E"/>
    <w:rsid w:val="00A6696B"/>
    <w:rsid w:val="00A710A4"/>
    <w:rsid w:val="00A82CFF"/>
    <w:rsid w:val="00A8396F"/>
    <w:rsid w:val="00A83CBF"/>
    <w:rsid w:val="00A9313D"/>
    <w:rsid w:val="00AA2B69"/>
    <w:rsid w:val="00AB59F5"/>
    <w:rsid w:val="00AC225C"/>
    <w:rsid w:val="00AC41E3"/>
    <w:rsid w:val="00AC6DF2"/>
    <w:rsid w:val="00AC73CF"/>
    <w:rsid w:val="00AD359D"/>
    <w:rsid w:val="00AE0C94"/>
    <w:rsid w:val="00AE2884"/>
    <w:rsid w:val="00AE33A3"/>
    <w:rsid w:val="00AE59B6"/>
    <w:rsid w:val="00AE7D54"/>
    <w:rsid w:val="00AF12B5"/>
    <w:rsid w:val="00B02189"/>
    <w:rsid w:val="00B04B49"/>
    <w:rsid w:val="00B05A26"/>
    <w:rsid w:val="00B12CF8"/>
    <w:rsid w:val="00B24BB8"/>
    <w:rsid w:val="00B25E73"/>
    <w:rsid w:val="00B3492F"/>
    <w:rsid w:val="00B36D3E"/>
    <w:rsid w:val="00B44288"/>
    <w:rsid w:val="00B533C1"/>
    <w:rsid w:val="00B61376"/>
    <w:rsid w:val="00B65078"/>
    <w:rsid w:val="00B66BBE"/>
    <w:rsid w:val="00B74FC5"/>
    <w:rsid w:val="00B7612B"/>
    <w:rsid w:val="00B80722"/>
    <w:rsid w:val="00B91718"/>
    <w:rsid w:val="00B96440"/>
    <w:rsid w:val="00B967B9"/>
    <w:rsid w:val="00BB0779"/>
    <w:rsid w:val="00BB33E2"/>
    <w:rsid w:val="00BB768F"/>
    <w:rsid w:val="00BC4819"/>
    <w:rsid w:val="00BC75CC"/>
    <w:rsid w:val="00BD7633"/>
    <w:rsid w:val="00BE49D0"/>
    <w:rsid w:val="00BF6DA3"/>
    <w:rsid w:val="00C05941"/>
    <w:rsid w:val="00C06AC5"/>
    <w:rsid w:val="00C11A89"/>
    <w:rsid w:val="00C32524"/>
    <w:rsid w:val="00C55063"/>
    <w:rsid w:val="00C7116D"/>
    <w:rsid w:val="00C73B8D"/>
    <w:rsid w:val="00C779A7"/>
    <w:rsid w:val="00C84133"/>
    <w:rsid w:val="00C86E64"/>
    <w:rsid w:val="00C877B5"/>
    <w:rsid w:val="00C945E2"/>
    <w:rsid w:val="00C94B12"/>
    <w:rsid w:val="00C97625"/>
    <w:rsid w:val="00CA014F"/>
    <w:rsid w:val="00CB0C95"/>
    <w:rsid w:val="00CC0086"/>
    <w:rsid w:val="00CC159E"/>
    <w:rsid w:val="00CC2DB6"/>
    <w:rsid w:val="00CD51BA"/>
    <w:rsid w:val="00CD7D9E"/>
    <w:rsid w:val="00CE4953"/>
    <w:rsid w:val="00D002EA"/>
    <w:rsid w:val="00D014A9"/>
    <w:rsid w:val="00D02D21"/>
    <w:rsid w:val="00D036F7"/>
    <w:rsid w:val="00D120D9"/>
    <w:rsid w:val="00D15EEB"/>
    <w:rsid w:val="00D24EF8"/>
    <w:rsid w:val="00D3051D"/>
    <w:rsid w:val="00D37AAA"/>
    <w:rsid w:val="00D407D8"/>
    <w:rsid w:val="00D4301E"/>
    <w:rsid w:val="00D436F7"/>
    <w:rsid w:val="00D52656"/>
    <w:rsid w:val="00D57B4C"/>
    <w:rsid w:val="00D57ECB"/>
    <w:rsid w:val="00D662AA"/>
    <w:rsid w:val="00D82423"/>
    <w:rsid w:val="00D86954"/>
    <w:rsid w:val="00D87388"/>
    <w:rsid w:val="00D95C08"/>
    <w:rsid w:val="00DA30BC"/>
    <w:rsid w:val="00DA7965"/>
    <w:rsid w:val="00DB1541"/>
    <w:rsid w:val="00DB612D"/>
    <w:rsid w:val="00DB79CF"/>
    <w:rsid w:val="00DC22C7"/>
    <w:rsid w:val="00DD1231"/>
    <w:rsid w:val="00DD2B36"/>
    <w:rsid w:val="00DD40FC"/>
    <w:rsid w:val="00DD4D04"/>
    <w:rsid w:val="00DD6141"/>
    <w:rsid w:val="00DE0E6E"/>
    <w:rsid w:val="00DE2C28"/>
    <w:rsid w:val="00DE3C72"/>
    <w:rsid w:val="00DE4390"/>
    <w:rsid w:val="00DF77D9"/>
    <w:rsid w:val="00E06CF5"/>
    <w:rsid w:val="00E13EAB"/>
    <w:rsid w:val="00E17DCB"/>
    <w:rsid w:val="00E237A3"/>
    <w:rsid w:val="00E23A86"/>
    <w:rsid w:val="00E3415F"/>
    <w:rsid w:val="00E34A6D"/>
    <w:rsid w:val="00E4081D"/>
    <w:rsid w:val="00E4265A"/>
    <w:rsid w:val="00E452DD"/>
    <w:rsid w:val="00E500A7"/>
    <w:rsid w:val="00E50F05"/>
    <w:rsid w:val="00E5469D"/>
    <w:rsid w:val="00E54AEC"/>
    <w:rsid w:val="00E6229B"/>
    <w:rsid w:val="00E76205"/>
    <w:rsid w:val="00E95986"/>
    <w:rsid w:val="00EA0115"/>
    <w:rsid w:val="00EA1286"/>
    <w:rsid w:val="00EA35CF"/>
    <w:rsid w:val="00EB6E24"/>
    <w:rsid w:val="00EB7D16"/>
    <w:rsid w:val="00ED17BA"/>
    <w:rsid w:val="00ED517E"/>
    <w:rsid w:val="00EE225E"/>
    <w:rsid w:val="00EE794E"/>
    <w:rsid w:val="00EF091C"/>
    <w:rsid w:val="00F07C30"/>
    <w:rsid w:val="00F12F94"/>
    <w:rsid w:val="00F1420D"/>
    <w:rsid w:val="00F173E7"/>
    <w:rsid w:val="00F228B0"/>
    <w:rsid w:val="00F2637D"/>
    <w:rsid w:val="00F31B4A"/>
    <w:rsid w:val="00F35FEE"/>
    <w:rsid w:val="00F36C3B"/>
    <w:rsid w:val="00F37DC7"/>
    <w:rsid w:val="00F40B86"/>
    <w:rsid w:val="00F43F78"/>
    <w:rsid w:val="00F46256"/>
    <w:rsid w:val="00F51487"/>
    <w:rsid w:val="00F52362"/>
    <w:rsid w:val="00F621DE"/>
    <w:rsid w:val="00F67676"/>
    <w:rsid w:val="00F938D5"/>
    <w:rsid w:val="00F94077"/>
    <w:rsid w:val="00FB16A8"/>
    <w:rsid w:val="00FD6017"/>
    <w:rsid w:val="00FE37D1"/>
    <w:rsid w:val="010737DA"/>
    <w:rsid w:val="01EF572E"/>
    <w:rsid w:val="023064E6"/>
    <w:rsid w:val="033A2A82"/>
    <w:rsid w:val="036C0A68"/>
    <w:rsid w:val="03B82544"/>
    <w:rsid w:val="049169DA"/>
    <w:rsid w:val="04983D57"/>
    <w:rsid w:val="04E33E2C"/>
    <w:rsid w:val="05195EA8"/>
    <w:rsid w:val="05E32C88"/>
    <w:rsid w:val="076C15DF"/>
    <w:rsid w:val="07E62323"/>
    <w:rsid w:val="08C81CF6"/>
    <w:rsid w:val="0AD100C7"/>
    <w:rsid w:val="0CBE28CD"/>
    <w:rsid w:val="0E4076D8"/>
    <w:rsid w:val="0E8C5F7F"/>
    <w:rsid w:val="0F4629F6"/>
    <w:rsid w:val="10537166"/>
    <w:rsid w:val="121E0096"/>
    <w:rsid w:val="136B241B"/>
    <w:rsid w:val="138A031A"/>
    <w:rsid w:val="14143E44"/>
    <w:rsid w:val="14A2068E"/>
    <w:rsid w:val="14CD79E4"/>
    <w:rsid w:val="160D5CDD"/>
    <w:rsid w:val="177E5132"/>
    <w:rsid w:val="17C748BE"/>
    <w:rsid w:val="17CE3D3E"/>
    <w:rsid w:val="17E01949"/>
    <w:rsid w:val="18B00250"/>
    <w:rsid w:val="18CF156A"/>
    <w:rsid w:val="198C7FDB"/>
    <w:rsid w:val="19D76D7C"/>
    <w:rsid w:val="1A866C07"/>
    <w:rsid w:val="1B1A27B7"/>
    <w:rsid w:val="1B585038"/>
    <w:rsid w:val="1C153EFA"/>
    <w:rsid w:val="1D4C628B"/>
    <w:rsid w:val="1D6B1E2E"/>
    <w:rsid w:val="1E2D5F6F"/>
    <w:rsid w:val="1FB8284F"/>
    <w:rsid w:val="1FCF6E73"/>
    <w:rsid w:val="203D7425"/>
    <w:rsid w:val="21EC6488"/>
    <w:rsid w:val="22066450"/>
    <w:rsid w:val="233516E6"/>
    <w:rsid w:val="23D65373"/>
    <w:rsid w:val="23DF49F6"/>
    <w:rsid w:val="242F7E04"/>
    <w:rsid w:val="243222BF"/>
    <w:rsid w:val="24CD60A0"/>
    <w:rsid w:val="25830657"/>
    <w:rsid w:val="25A23334"/>
    <w:rsid w:val="26161509"/>
    <w:rsid w:val="26234E50"/>
    <w:rsid w:val="26596A8E"/>
    <w:rsid w:val="281A10FB"/>
    <w:rsid w:val="29361B01"/>
    <w:rsid w:val="297507C8"/>
    <w:rsid w:val="297E7875"/>
    <w:rsid w:val="298D1F38"/>
    <w:rsid w:val="29BF6342"/>
    <w:rsid w:val="2A735B6A"/>
    <w:rsid w:val="2B406E77"/>
    <w:rsid w:val="2C412EA7"/>
    <w:rsid w:val="2C9B6FCB"/>
    <w:rsid w:val="2CAC5746"/>
    <w:rsid w:val="2E67471B"/>
    <w:rsid w:val="2E9D5383"/>
    <w:rsid w:val="2EDB2231"/>
    <w:rsid w:val="2FC652F3"/>
    <w:rsid w:val="30C0016F"/>
    <w:rsid w:val="31242EB8"/>
    <w:rsid w:val="31CF4069"/>
    <w:rsid w:val="32007C3C"/>
    <w:rsid w:val="325D0516"/>
    <w:rsid w:val="326F7AE4"/>
    <w:rsid w:val="327905B5"/>
    <w:rsid w:val="329A3BE6"/>
    <w:rsid w:val="34484BD6"/>
    <w:rsid w:val="34CD3F9C"/>
    <w:rsid w:val="34FA67FE"/>
    <w:rsid w:val="36533F02"/>
    <w:rsid w:val="36674C84"/>
    <w:rsid w:val="36844673"/>
    <w:rsid w:val="372411EE"/>
    <w:rsid w:val="377F0AA2"/>
    <w:rsid w:val="380E6479"/>
    <w:rsid w:val="38407A0F"/>
    <w:rsid w:val="38F50230"/>
    <w:rsid w:val="398A23D0"/>
    <w:rsid w:val="39CC57C4"/>
    <w:rsid w:val="3A164245"/>
    <w:rsid w:val="3AD555F0"/>
    <w:rsid w:val="3B0D7523"/>
    <w:rsid w:val="3B7F4E52"/>
    <w:rsid w:val="3BA004C7"/>
    <w:rsid w:val="3C48218C"/>
    <w:rsid w:val="3D4E58F3"/>
    <w:rsid w:val="3D5567B2"/>
    <w:rsid w:val="3DCF5CEB"/>
    <w:rsid w:val="3E227769"/>
    <w:rsid w:val="3F30597C"/>
    <w:rsid w:val="401A339B"/>
    <w:rsid w:val="408C0DFE"/>
    <w:rsid w:val="42076C93"/>
    <w:rsid w:val="42A37E08"/>
    <w:rsid w:val="42B555FD"/>
    <w:rsid w:val="432614BC"/>
    <w:rsid w:val="441D6DAF"/>
    <w:rsid w:val="4474674E"/>
    <w:rsid w:val="455212EB"/>
    <w:rsid w:val="45B125CD"/>
    <w:rsid w:val="467158DF"/>
    <w:rsid w:val="46EC63A6"/>
    <w:rsid w:val="471C1759"/>
    <w:rsid w:val="47726F8E"/>
    <w:rsid w:val="478C1E0B"/>
    <w:rsid w:val="48501CB3"/>
    <w:rsid w:val="486A0C38"/>
    <w:rsid w:val="48B03A19"/>
    <w:rsid w:val="48C43AAD"/>
    <w:rsid w:val="496E23D6"/>
    <w:rsid w:val="496E7EE7"/>
    <w:rsid w:val="49820941"/>
    <w:rsid w:val="49E07F68"/>
    <w:rsid w:val="4A057D49"/>
    <w:rsid w:val="4A084BAC"/>
    <w:rsid w:val="4A2521FC"/>
    <w:rsid w:val="4A633AB6"/>
    <w:rsid w:val="4B7D1A01"/>
    <w:rsid w:val="4B9C2C8A"/>
    <w:rsid w:val="4BA604C3"/>
    <w:rsid w:val="4BB80745"/>
    <w:rsid w:val="4BC66ACD"/>
    <w:rsid w:val="4C220DED"/>
    <w:rsid w:val="4C486EBC"/>
    <w:rsid w:val="4C837750"/>
    <w:rsid w:val="4C9F2885"/>
    <w:rsid w:val="4CA46E0E"/>
    <w:rsid w:val="4D662315"/>
    <w:rsid w:val="4D900A8D"/>
    <w:rsid w:val="4DE12E76"/>
    <w:rsid w:val="4E0E33A3"/>
    <w:rsid w:val="4E1616B1"/>
    <w:rsid w:val="4E1D3FA9"/>
    <w:rsid w:val="4E23658C"/>
    <w:rsid w:val="4E3D3638"/>
    <w:rsid w:val="4E7F6761"/>
    <w:rsid w:val="4F050755"/>
    <w:rsid w:val="4F624D5E"/>
    <w:rsid w:val="4F7577E9"/>
    <w:rsid w:val="50687CAE"/>
    <w:rsid w:val="50A45A7A"/>
    <w:rsid w:val="50A620CA"/>
    <w:rsid w:val="51031C29"/>
    <w:rsid w:val="51A01991"/>
    <w:rsid w:val="527606C1"/>
    <w:rsid w:val="5280620D"/>
    <w:rsid w:val="52DC6FE6"/>
    <w:rsid w:val="53467700"/>
    <w:rsid w:val="53795B2E"/>
    <w:rsid w:val="53C32039"/>
    <w:rsid w:val="54631A8B"/>
    <w:rsid w:val="54866666"/>
    <w:rsid w:val="54A42EEF"/>
    <w:rsid w:val="54A92AE8"/>
    <w:rsid w:val="555D7668"/>
    <w:rsid w:val="55821CB6"/>
    <w:rsid w:val="56925090"/>
    <w:rsid w:val="56B73D50"/>
    <w:rsid w:val="56BD6BFC"/>
    <w:rsid w:val="56F1491B"/>
    <w:rsid w:val="57B21DE4"/>
    <w:rsid w:val="588A69DD"/>
    <w:rsid w:val="58B93347"/>
    <w:rsid w:val="59F1740B"/>
    <w:rsid w:val="5A3F2416"/>
    <w:rsid w:val="5ABA6049"/>
    <w:rsid w:val="5B352405"/>
    <w:rsid w:val="5BA62897"/>
    <w:rsid w:val="5BEC017C"/>
    <w:rsid w:val="5E0F5563"/>
    <w:rsid w:val="5E946B89"/>
    <w:rsid w:val="5F075755"/>
    <w:rsid w:val="5F5A7950"/>
    <w:rsid w:val="5F7078E4"/>
    <w:rsid w:val="5F8314CF"/>
    <w:rsid w:val="5FCE4C9E"/>
    <w:rsid w:val="60A70EAA"/>
    <w:rsid w:val="60BC4792"/>
    <w:rsid w:val="60F554D2"/>
    <w:rsid w:val="62EF1BA9"/>
    <w:rsid w:val="62F61335"/>
    <w:rsid w:val="63021201"/>
    <w:rsid w:val="6571508C"/>
    <w:rsid w:val="668E6CC5"/>
    <w:rsid w:val="66C066FB"/>
    <w:rsid w:val="66EC55B1"/>
    <w:rsid w:val="684E2F22"/>
    <w:rsid w:val="6972176B"/>
    <w:rsid w:val="6A975464"/>
    <w:rsid w:val="6AAB5E9B"/>
    <w:rsid w:val="6AC646C6"/>
    <w:rsid w:val="6CCD1E02"/>
    <w:rsid w:val="6D7B1EE1"/>
    <w:rsid w:val="6DB52400"/>
    <w:rsid w:val="6DEC7043"/>
    <w:rsid w:val="6DFB21AE"/>
    <w:rsid w:val="6E1C682F"/>
    <w:rsid w:val="6E4D64EA"/>
    <w:rsid w:val="6F271CAD"/>
    <w:rsid w:val="6F724A1E"/>
    <w:rsid w:val="6FC52096"/>
    <w:rsid w:val="6FFC34F1"/>
    <w:rsid w:val="707575F1"/>
    <w:rsid w:val="70C8281B"/>
    <w:rsid w:val="712A0A2F"/>
    <w:rsid w:val="71471EF9"/>
    <w:rsid w:val="71A61091"/>
    <w:rsid w:val="71B07FF4"/>
    <w:rsid w:val="71C45D7F"/>
    <w:rsid w:val="71FE7C29"/>
    <w:rsid w:val="72E20072"/>
    <w:rsid w:val="731067CE"/>
    <w:rsid w:val="733B3152"/>
    <w:rsid w:val="733D7B21"/>
    <w:rsid w:val="734A64E1"/>
    <w:rsid w:val="73CC5951"/>
    <w:rsid w:val="73F635F1"/>
    <w:rsid w:val="743064C8"/>
    <w:rsid w:val="74B2351B"/>
    <w:rsid w:val="74C0674C"/>
    <w:rsid w:val="74D0021F"/>
    <w:rsid w:val="75750AB7"/>
    <w:rsid w:val="76B02314"/>
    <w:rsid w:val="76C021E7"/>
    <w:rsid w:val="772E0EFE"/>
    <w:rsid w:val="784B797B"/>
    <w:rsid w:val="792151BF"/>
    <w:rsid w:val="79276CD8"/>
    <w:rsid w:val="79431C98"/>
    <w:rsid w:val="797C7FBA"/>
    <w:rsid w:val="79F21553"/>
    <w:rsid w:val="7A3250AF"/>
    <w:rsid w:val="7AD26AB9"/>
    <w:rsid w:val="7AF47574"/>
    <w:rsid w:val="7B410A22"/>
    <w:rsid w:val="7B5A6409"/>
    <w:rsid w:val="7BF045C5"/>
    <w:rsid w:val="7C131D23"/>
    <w:rsid w:val="7C2A7B6F"/>
    <w:rsid w:val="7C826CA8"/>
    <w:rsid w:val="7C85296C"/>
    <w:rsid w:val="7CB95DE5"/>
    <w:rsid w:val="7D3C587E"/>
    <w:rsid w:val="7DD15622"/>
    <w:rsid w:val="7EDE6CCB"/>
    <w:rsid w:val="7F307EAD"/>
    <w:rsid w:val="7F444097"/>
    <w:rsid w:val="7F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Lines="200" w:line="240" w:lineRule="atLeast"/>
      <w:jc w:val="center"/>
    </w:pPr>
    <w:rPr>
      <w:rFonts w:ascii="宋体" w:hAnsi="宋体" w:cs="Times New Roman"/>
      <w:b/>
      <w:sz w:val="30"/>
      <w:szCs w:val="4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locked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qFormat/>
    <w:locked/>
    <w:uiPriority w:val="99"/>
    <w:rPr>
      <w:sz w:val="18"/>
      <w:szCs w:val="18"/>
    </w:rPr>
  </w:style>
  <w:style w:type="character" w:customStyle="1" w:styleId="12">
    <w:name w:val="style41"/>
    <w:basedOn w:val="9"/>
    <w:qFormat/>
    <w:uiPriority w:val="99"/>
    <w:rPr>
      <w:b/>
      <w:bCs/>
      <w:color w:val="auto"/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正文文本 Char"/>
    <w:basedOn w:val="9"/>
    <w:link w:val="2"/>
    <w:qFormat/>
    <w:uiPriority w:val="0"/>
    <w:rPr>
      <w:rFonts w:ascii="宋体" w:hAnsi="宋体"/>
      <w:b/>
      <w:sz w:val="30"/>
      <w:szCs w:val="44"/>
    </w:rPr>
  </w:style>
  <w:style w:type="paragraph" w:customStyle="1" w:styleId="15">
    <w:name w:val="_Style 9"/>
    <w:basedOn w:val="1"/>
    <w:qFormat/>
    <w:uiPriority w:val="0"/>
    <w:pPr>
      <w:spacing w:beforeLines="50" w:afterLines="50"/>
    </w:pPr>
    <w:rPr>
      <w:rFonts w:ascii="Tahoma" w:hAnsi="Tahoma" w:cs="Times New Roman"/>
      <w:sz w:val="24"/>
      <w:szCs w:val="20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1212</Words>
  <Characters>1312</Characters>
  <Lines>24</Lines>
  <Paragraphs>6</Paragraphs>
  <TotalTime>20</TotalTime>
  <ScaleCrop>false</ScaleCrop>
  <LinksUpToDate>false</LinksUpToDate>
  <CharactersWithSpaces>1363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2017-11-15T11:03:00Z</dcterms:created>
  <dc:creator>微软用户</dc:creator>
  <cp:lastModifiedBy>鲍鱼仔</cp:lastModifiedBy>
  <cp:lastPrinted>2019-03-28T09:13:00Z</cp:lastPrinted>
  <dcterms:modified xsi:type="dcterms:W3CDTF">2024-09-14T10:34:39Z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6CDADDDEE7F04A8183ACEF78EF2A7556</vt:lpwstr>
  </property>
</Properties>
</file>