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cstate="print"/>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cstate="print"/>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cstate="print"/>
                    <a:stretch>
                      <a:fillRect/>
                    </a:stretch>
                  </pic:blipFill>
                  <pic:spPr>
                    <a:xfrm>
                      <a:off x="0" y="0"/>
                      <a:ext cx="2162810" cy="1310640"/>
                    </a:xfrm>
                    <a:prstGeom prst="rect">
                      <a:avLst/>
                    </a:prstGeom>
                  </pic:spPr>
                </pic:pic>
              </a:graphicData>
            </a:graphic>
          </wp:anchor>
        </w:drawing>
      </w:r>
      <w:r>
        <w:pict>
          <v:group id="_x0000_s1033" o:spid="_x0000_s1033" o:spt="203" style="position:absolute;left:0pt;margin-left:-219.15pt;margin-top:168.4pt;height:113.95pt;width:712.85pt;z-index:251662336;mso-width-relative:page;mso-height-relative:page;" coordorigin="-3504,4387" coordsize="19200,-1578764093">
            <o:lock v:ext="edit"/>
            <v:rect id="矩形 19" o:spid="_x0000_s1026" o:spt="1" style="position:absolute;left:-381;top:4387;height:2457;width:1834;v-text-anchor:middle;" fillcolor="#0176AB" filled="t" stroked="f" coordsize="21600,21600">
              <v:path/>
              <v:fill on="t" focussize="0,0"/>
              <v:stroke on="f"/>
              <v:imagedata o:title=""/>
              <o:lock v:ext="edit"/>
            </v:rect>
            <v:shape id="矩形 24" o:spid="_x0000_s1035" o:spt="100" style="position:absolute;left:-3504;top:6953;height:150;width:11815;" fillcolor="#E5AA57" filled="t" stroked="f" coordsize="7501732,94593" adj="," path="m0,0l7458720,6350,7501732,94593,0,94593,0,0xe">
              <v:path o:connecttype="segments" o:connectlocs="0,0;7463453,6619;7506490,98604;0,98604;0,0" o:connectangles="0,0,0,0,0"/>
              <v:fill on="t" focussize="0,0"/>
              <v:stroke on="f" joinstyle="round"/>
              <v:imagedata o:title=""/>
              <o:lock v:ext="edit"/>
            </v:shape>
            <v:shape id="矩形 25" o:spid="_x0000_s1034" o:spt="100" style="position:absolute;left:8331;top:6953;height:150;width:7365;" fillcolor="#0176AB" filled="t" stroked="f" coordsize="4676187,94594" adj="," path="m0,0l4676187,0,4676187,94594,57510,94594,0,0xe">
              <v:path o:connecttype="segments" o:connectlocs="0,0;4679715,0;4679715,98599;57552,98599;0,0" o:connectangles="0,0,0,0,0"/>
              <v:fill on="t" focussize="0,0"/>
              <v:stroke on="f" joinstyle="round"/>
              <v:imagedata o:title=""/>
              <o:lock v:ext="edit"/>
            </v:shape>
          </v:group>
        </w:pict>
      </w:r>
      <w:r>
        <w:pict>
          <v:group id="_x0000_s1028" o:spid="_x0000_s1028" o:spt="203" style="position:absolute;left:0pt;margin-left:-22.1pt;margin-top:-24.65pt;height:148.45pt;width:468.85pt;z-index:251661312;mso-width-relative:page;mso-height-relative:page;" coordorigin="12098,1831" coordsize="9377,-1325764093">
            <o:lock v:ext="edit"/>
            <v:shape id="文本框 32" o:spid="_x0000_s1032" o:spt="202" type="#_x0000_t202" style="position:absolute;left:13325;top:1831;height:1348;width:4462;" filled="f" stroked="f" coordsize="21600,21600">
              <v:path/>
              <v:fill on="f" focussize="0,0"/>
              <v:stroke on="f" joinstyle="miter"/>
              <v:imagedata o:title=""/>
              <o:lock v:ext="edit"/>
              <v:textbox>
                <w:txbxContent>
                  <w:p>
                    <w:pPr>
                      <w:jc w:val="distribute"/>
                      <w:rPr>
                        <w:rFonts w:ascii="方正魏碑简体" w:hAnsi="Arial" w:eastAsia="方正魏碑简体" w:cs="Arial"/>
                        <w:color w:val="000000" w:themeColor="text1"/>
                        <w:sz w:val="22"/>
                      </w:rPr>
                    </w:pPr>
                    <w:r>
                      <w:rPr>
                        <w:rFonts w:hint="eastAsia" w:ascii="方正魏碑简体" w:hAnsi="Arial" w:eastAsia="方正魏碑简体" w:cs="Arial"/>
                        <w:color w:val="000000" w:themeColor="text1"/>
                        <w:spacing w:val="60"/>
                        <w:kern w:val="24"/>
                        <w:sz w:val="72"/>
                        <w:szCs w:val="72"/>
                      </w:rPr>
                      <w:t>2023年度</w:t>
                    </w:r>
                  </w:p>
                </w:txbxContent>
              </v:textbox>
            </v:shape>
            <v:group id="_x0000_s1029" o:spid="_x0000_s1029" o:spt="203" style="position:absolute;left:12098;top:3193;height:1607;width:9377;" coordorigin="6119,2843" coordsize="9377,1607">
              <o:lock v:ext="edit"/>
              <v:shape id="文本框 32" o:spid="_x0000_s1031" o:spt="202" type="#_x0000_t202" style="position:absolute;left:6119;top:2843;height:1421;width:9377;" filled="f" stroked="f" coordsize="21600,21600">
                <v:path/>
                <v:fill on="f" focussize="0,0"/>
                <v:stroke on="f" joinstyle="miter"/>
                <v:imagedata o:title=""/>
                <o:lock v:ext="edit"/>
                <v:textbox>
                  <w:txbxContent>
                    <w:p>
                      <w:pPr>
                        <w:jc w:val="left"/>
                        <w:rPr>
                          <w:rFonts w:ascii="黑体" w:hAnsi="黑体" w:eastAsia="黑体" w:cs="黑体"/>
                          <w:color w:val="000000" w:themeColor="text1"/>
                        </w:rPr>
                      </w:pPr>
                      <w:r>
                        <w:rPr>
                          <w:rFonts w:hint="eastAsia" w:ascii="黑体" w:hAnsi="黑体" w:eastAsia="黑体" w:cs="黑体"/>
                          <w:color w:val="000000" w:themeColor="text1"/>
                          <w:spacing w:val="60"/>
                          <w:kern w:val="24"/>
                          <w:sz w:val="96"/>
                          <w:szCs w:val="96"/>
                        </w:rPr>
                        <w:t>部门决算公开文本</w:t>
                      </w:r>
                    </w:p>
                  </w:txbxContent>
                </v:textbox>
              </v:shape>
              <v:line id="_x0000_s1030" o:spid="_x0000_s1030" o:spt="20" style="position:absolute;left:6226;top:4450;height:0;width:8700;" stroked="t" coordsize="21600,21600">
                <v:path arrowok="t"/>
                <v:fill focussize="0,0"/>
                <v:stroke weight="2.25pt" color="#325395" joinstyle="miter" dashstyle="1 1"/>
                <v:imagedata o:title=""/>
                <o:lock v:ext="edit"/>
              </v:line>
            </v:group>
          </v:group>
        </w:pic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w:pict>
          <v:shape id="文本框 33" o:spid="_x0000_s1027" o:spt="202" type="#_x0000_t202" style="position:absolute;left:0pt;margin-left:-19.95pt;margin-top:126.9pt;height:44.9pt;width:432.6pt;z-index:251660288;mso-width-relative:page;mso-height-relative:page;" filled="f" stroked="f" coordsize="21600,21600">
            <v:path/>
            <v:fill on="f" focussize="0,0"/>
            <v:stroke on="f" joinstyle="miter"/>
            <v:imagedata o:title=""/>
            <o:lock v:ext="edit"/>
            <v:textbox>
              <w:txbxContent>
                <w:p>
                  <w:pPr>
                    <w:jc w:val="distribute"/>
                    <w:rPr>
                      <w:rFonts w:ascii="思源黑体 CN Heavy" w:hAnsi="思源黑体 CN Heavy" w:eastAsia="思源黑体 CN Heavy"/>
                      <w:color w:val="A5A5A5" w:themeColor="background1" w:themeShade="A6"/>
                      <w:sz w:val="40"/>
                      <w:szCs w:val="40"/>
                    </w:rPr>
                  </w:pPr>
                </w:p>
              </w:txbxContent>
            </v:textbox>
          </v:shape>
        </w:pict>
      </w:r>
    </w:p>
    <w:p>
      <w:pPr>
        <w:widowControl/>
        <w:jc w:val="left"/>
      </w:pPr>
    </w:p>
    <w:p>
      <w:pPr>
        <w:rPr>
          <w:rFonts w:ascii="思源黑体 CN Heavy" w:hAnsi="思源黑体 CN Heavy" w:eastAsia="思源黑体 CN Heavy"/>
          <w:b/>
          <w:color w:val="000000" w:themeColor="text1"/>
          <w:sz w:val="72"/>
          <w:szCs w:val="72"/>
        </w:rPr>
      </w:pPr>
      <w:r>
        <w:rPr>
          <w:rFonts w:hint="eastAsia" w:ascii="宋体" w:hAnsi="宋体" w:eastAsia="宋体"/>
          <w:b/>
          <w:color w:val="000000" w:themeColor="text1"/>
          <w:sz w:val="72"/>
          <w:szCs w:val="72"/>
        </w:rPr>
        <w:t xml:space="preserve">2023 </w:t>
      </w:r>
      <w:r>
        <w:rPr>
          <w:rFonts w:hint="eastAsia" w:ascii="思源黑体 CN Heavy" w:hAnsi="思源黑体 CN Heavy" w:eastAsia="思源黑体 CN Heavy"/>
          <w:b/>
          <w:color w:val="000000" w:themeColor="text1"/>
          <w:sz w:val="72"/>
          <w:szCs w:val="72"/>
        </w:rPr>
        <w:t>年度</w:t>
      </w:r>
    </w:p>
    <w:p>
      <w:pPr>
        <w:rPr>
          <w:rFonts w:ascii="思源黑体 CN Heavy" w:hAnsi="思源黑体 CN Heavy" w:eastAsia="思源黑体 CN Heavy"/>
          <w:b/>
          <w:color w:val="000000" w:themeColor="text1"/>
          <w:sz w:val="72"/>
          <w:szCs w:val="72"/>
        </w:rPr>
      </w:pPr>
      <w:r>
        <w:rPr>
          <w:rFonts w:hint="eastAsia" w:ascii="思源黑体 CN Heavy" w:hAnsi="思源黑体 CN Heavy" w:eastAsia="思源黑体 CN Heavy"/>
          <w:b/>
          <w:color w:val="000000" w:themeColor="text1"/>
          <w:sz w:val="72"/>
          <w:szCs w:val="72"/>
        </w:rPr>
        <w:t>部门决算公开文本</w:t>
      </w:r>
    </w:p>
    <w:p>
      <w:pPr>
        <w:widowControl/>
        <w:jc w:val="left"/>
      </w:pPr>
    </w:p>
    <w:p>
      <w:pPr>
        <w:widowControl/>
        <w:jc w:val="left"/>
      </w:pPr>
      <w:r>
        <w:drawing>
          <wp:anchor distT="0" distB="0" distL="114300" distR="114300" simplePos="0" relativeHeight="251659264" behindDoc="1" locked="0" layoutInCell="1" allowOverlap="1">
            <wp:simplePos x="0" y="0"/>
            <wp:positionH relativeFrom="margin">
              <wp:posOffset>-2997835</wp:posOffset>
            </wp:positionH>
            <wp:positionV relativeFrom="margin">
              <wp:posOffset>678180</wp:posOffset>
            </wp:positionV>
            <wp:extent cx="11085195" cy="7846060"/>
            <wp:effectExtent l="0" t="1619250" r="0" b="160274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1085195" cy="784606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：603</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：枣强县人民法院</w:t>
      </w: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二〇二四年九月</w:t>
      </w:r>
    </w:p>
    <w:p>
      <w:pP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ascii="楷体_GB2312" w:hAnsi="楷体_GB2312" w:eastAsia="楷体_GB2312" w:cs="楷体_GB2312"/>
          <w:color w:val="000000"/>
          <w:sz w:val="40"/>
          <w:szCs w:val="40"/>
        </w:rPr>
      </w:pPr>
    </w:p>
    <w:p>
      <w:pPr>
        <w:rPr>
          <w:rFonts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p>
    <w:p>
      <w:pPr>
        <w:jc w:val="center"/>
        <w:rPr>
          <w:rFonts w:ascii="黑体" w:hAnsi="黑体" w:eastAsia="黑体" w:cs="黑体"/>
          <w:b/>
          <w:bCs/>
          <w:sz w:val="72"/>
          <w:szCs w:val="96"/>
        </w:rPr>
      </w:pPr>
      <w:r>
        <w:rPr>
          <w:rFonts w:hint="eastAsia" w:ascii="黑体" w:hAnsi="黑体" w:eastAsia="黑体" w:cs="黑体"/>
          <w:b/>
          <w:bCs/>
          <w:sz w:val="72"/>
          <w:szCs w:val="96"/>
        </w:rPr>
        <w:t>2023年度</w:t>
      </w:r>
    </w:p>
    <w:p>
      <w:pPr>
        <w:jc w:val="center"/>
        <w:rPr>
          <w:rFonts w:ascii="黑体" w:hAnsi="黑体" w:eastAsia="黑体" w:cs="黑体"/>
          <w:b/>
          <w:bCs/>
          <w:sz w:val="72"/>
          <w:szCs w:val="96"/>
        </w:rPr>
      </w:pPr>
      <w:r>
        <w:rPr>
          <w:rFonts w:hint="eastAsia" w:ascii="黑体" w:hAnsi="黑体" w:eastAsia="黑体" w:cs="黑体"/>
          <w:b/>
          <w:bCs/>
          <w:sz w:val="72"/>
          <w:szCs w:val="96"/>
        </w:rPr>
        <w:t>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rPr>
          <w:rFonts w:ascii="黑体" w:hAnsi="黑体" w:eastAsia="黑体" w:cs="黑体"/>
          <w:sz w:val="56"/>
          <w:szCs w:val="72"/>
        </w:rPr>
      </w:pPr>
    </w:p>
    <w:p>
      <w:pPr>
        <w:snapToGrid w:val="0"/>
        <w:jc w:val="center"/>
        <w:rPr>
          <w:rFonts w:ascii="楷体_GB2312" w:hAnsi="楷体_GB2312" w:eastAsia="楷体_GB2312" w:cs="楷体_GB2312"/>
          <w:color w:val="000000" w:themeColor="text1"/>
          <w:sz w:val="44"/>
          <w:szCs w:val="44"/>
        </w:rPr>
      </w:pPr>
      <w:r>
        <w:rPr>
          <w:rFonts w:hint="eastAsia" w:ascii="楷体_GB2312" w:hAnsi="楷体_GB2312" w:eastAsia="楷体_GB2312" w:cs="楷体_GB2312"/>
          <w:color w:val="000000" w:themeColor="text1"/>
          <w:sz w:val="44"/>
          <w:szCs w:val="44"/>
        </w:rPr>
        <w:t>枣强县人民法院</w:t>
      </w:r>
    </w:p>
    <w:p>
      <w:pPr>
        <w:snapToGrid w:val="0"/>
        <w:jc w:val="center"/>
        <w:rPr>
          <w:rFonts w:ascii="楷体_GB2312" w:hAnsi="楷体_GB2312" w:eastAsia="楷体_GB2312" w:cs="楷体_GB2312"/>
          <w:color w:val="000000" w:themeColor="text1"/>
          <w:sz w:val="44"/>
          <w:szCs w:val="44"/>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sz w:val="44"/>
          <w:szCs w:val="44"/>
        </w:rPr>
        <w:t>二〇二四年九月</w:t>
      </w:r>
    </w:p>
    <w:p>
      <w:pPr>
        <w:tabs>
          <w:tab w:val="left" w:pos="2728"/>
        </w:tabs>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一、部门职责</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(1)依法审理法律规定由基层人民法院管辖、中级人民法院指定管辖或者认为应当由本法院审理的刑事、民事、行政等一审案件。</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(2)依法审理中级人民法院指定再审的案件和市人民检察院 抗诉的案件。受理当事人不服本院发生法律效力的判决、裁定并提起申诉的刑事、行政诉讼案件。</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(3)依法行使执行权和司法决定权。</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(4)对法律规定、规章等草案提出意见，对案件审理中发现的问题提出司法建议。</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(5)指导基层法庭工作。</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(6)负责全院的思想政治、教育培训工作和干部管理工作。</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(7)负责全院财务、专项投资的计划管理及分配。</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(8)负责全院的监察工作。</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(9)管理人民法院司法警察工作。</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(10)做好本院行政、后勤事业管理和服务工作。</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(11)宣传法制，教育公民忠于社会主义祖国，自觉遵守宪法、法律和社会公德。</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(12)积极参与社会治安综合治理。</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(13)承办其它应由基层人民法院负责的工作。</w:t>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”）共</w:t>
      </w:r>
      <w:r>
        <w:rPr>
          <w:rFonts w:hint="eastAsia" w:ascii="仿宋_GB2312" w:hAnsi="仿宋_GB2312" w:eastAsia="仿宋_GB2312" w:cs="仿宋_GB2312"/>
          <w:sz w:val="32"/>
          <w:szCs w:val="32"/>
          <w:shd w:val="clear" w:color="auto" w:fill="FFFFFF"/>
        </w:rPr>
        <w:t>1</w:t>
      </w:r>
      <w:r>
        <w:rPr>
          <w:rFonts w:ascii="仿宋_GB2312" w:hAnsi="仿宋_GB2312" w:eastAsia="仿宋_GB2312" w:cs="仿宋_GB2312"/>
          <w:sz w:val="32"/>
          <w:szCs w:val="32"/>
          <w:shd w:val="clear" w:color="auto"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rPr>
                <w:rFonts w:ascii="仿宋_GB2312" w:hAnsi="Calibri" w:eastAsia="仿宋_GB2312" w:cs="ArialUnicodeMS"/>
                <w:sz w:val="28"/>
                <w:szCs w:val="28"/>
              </w:rPr>
            </w:pPr>
            <w:r>
              <w:rPr>
                <w:rFonts w:hint="eastAsia" w:ascii="仿宋_GB2312" w:hAnsi="Calibri" w:eastAsia="仿宋_GB2312" w:cs="ArialUnicodeMS"/>
                <w:sz w:val="28"/>
                <w:szCs w:val="28"/>
              </w:rPr>
              <w:t>枣强县人民法院(本级)</w:t>
            </w:r>
          </w:p>
        </w:tc>
        <w:tc>
          <w:tcPr>
            <w:tcW w:w="244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行政单位</w:t>
            </w:r>
          </w:p>
        </w:tc>
        <w:tc>
          <w:tcPr>
            <w:tcW w:w="266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我部门无二级预算单位，因此，枣强县人民法院2023年度部门决算即枣强县人民法院本级2023年度决算。</w:t>
      </w:r>
    </w:p>
    <w:p>
      <w:pPr>
        <w:widowControl/>
        <w:spacing w:after="160" w:line="580" w:lineRule="exact"/>
        <w:ind w:firstLine="640" w:firstLineChars="200"/>
        <w:rPr>
          <w:rFonts w:ascii="Times New Roman" w:hAnsi="Times New Roman" w:eastAsia="黑体" w:cs="Times New Roman"/>
          <w:sz w:val="32"/>
          <w:szCs w:val="32"/>
          <w:highlight w:val="yellow"/>
        </w:rPr>
      </w:pPr>
    </w:p>
    <w:p>
      <w:pPr>
        <w:widowControl/>
        <w:spacing w:after="160" w:line="580" w:lineRule="exact"/>
        <w:ind w:firstLine="640" w:firstLineChars="200"/>
        <w:rPr>
          <w:rFonts w:ascii="Times New Roman" w:hAnsi="Times New Roman" w:eastAsia="黑体" w:cs="Times New Roman"/>
          <w:sz w:val="32"/>
          <w:szCs w:val="32"/>
          <w:highlight w:val="yellow"/>
        </w:rPr>
      </w:pPr>
    </w:p>
    <w:p>
      <w:pPr>
        <w:widowControl/>
        <w:spacing w:after="160" w:line="580" w:lineRule="exact"/>
        <w:ind w:firstLine="640" w:firstLineChars="200"/>
        <w:rPr>
          <w:rFonts w:ascii="Times New Roman" w:hAnsi="Times New Roman" w:eastAsia="黑体" w:cs="Times New Roman"/>
          <w:sz w:val="32"/>
          <w:szCs w:val="32"/>
          <w:highlight w:val="yellow"/>
        </w:rPr>
      </w:pPr>
    </w:p>
    <w:p>
      <w:pPr>
        <w:widowControl/>
        <w:spacing w:after="160" w:line="580" w:lineRule="exact"/>
        <w:ind w:firstLine="640" w:firstLineChars="200"/>
        <w:rPr>
          <w:rFonts w:ascii="Times New Roman" w:hAnsi="Times New Roman" w:eastAsia="黑体" w:cs="Times New Roman"/>
          <w:sz w:val="32"/>
          <w:szCs w:val="32"/>
          <w:highlight w:val="yellow"/>
        </w:rPr>
      </w:pPr>
    </w:p>
    <w:p>
      <w:pPr>
        <w:widowControl/>
        <w:spacing w:after="160" w:line="580" w:lineRule="exact"/>
        <w:ind w:firstLine="640" w:firstLineChars="200"/>
        <w:rPr>
          <w:rFonts w:ascii="Times New Roman" w:hAnsi="Times New Roman" w:eastAsia="黑体" w:cs="Times New Roman"/>
          <w:sz w:val="32"/>
          <w:szCs w:val="32"/>
          <w:highlight w:val="yellow"/>
        </w:rPr>
      </w:pPr>
    </w:p>
    <w:p>
      <w:pPr>
        <w:widowControl/>
        <w:spacing w:after="160" w:line="580" w:lineRule="exact"/>
        <w:ind w:firstLine="640" w:firstLineChars="200"/>
        <w:rPr>
          <w:rFonts w:ascii="Times New Roman" w:hAnsi="Times New Roman" w:eastAsia="黑体" w:cs="Times New Roman"/>
          <w:sz w:val="32"/>
          <w:szCs w:val="32"/>
          <w:highlight w:val="yellow"/>
        </w:rPr>
      </w:pPr>
    </w:p>
    <w:p>
      <w:pPr>
        <w:widowControl/>
        <w:spacing w:after="160" w:line="580" w:lineRule="exact"/>
        <w:ind w:firstLine="640" w:firstLineChars="200"/>
        <w:rPr>
          <w:rFonts w:ascii="Times New Roman" w:hAnsi="Times New Roman" w:eastAsia="黑体" w:cs="Times New Roman"/>
          <w:sz w:val="32"/>
          <w:szCs w:val="32"/>
          <w:highlight w:val="yellow"/>
        </w:rPr>
      </w:pPr>
    </w:p>
    <w:p>
      <w:pPr>
        <w:widowControl/>
        <w:spacing w:after="160" w:line="580" w:lineRule="exact"/>
        <w:ind w:firstLine="640" w:firstLineChars="200"/>
        <w:rPr>
          <w:rFonts w:ascii="Times New Roman" w:hAnsi="Times New Roman" w:eastAsia="黑体" w:cs="Times New Roman"/>
          <w:sz w:val="32"/>
          <w:szCs w:val="32"/>
          <w:highlight w:val="yellow"/>
        </w:rPr>
      </w:pPr>
    </w:p>
    <w:p>
      <w:pPr>
        <w:widowControl/>
        <w:spacing w:after="160" w:line="580" w:lineRule="exact"/>
        <w:ind w:firstLine="640" w:firstLineChars="200"/>
        <w:rPr>
          <w:rFonts w:ascii="Times New Roman" w:hAnsi="Times New Roman" w:eastAsia="黑体" w:cs="Times New Roman"/>
          <w:sz w:val="32"/>
          <w:szCs w:val="32"/>
          <w:highlight w:val="yellow"/>
        </w:rPr>
      </w:pP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7250" w:type="pct"/>
        <w:tblInd w:w="-1817" w:type="dxa"/>
        <w:tblLayout w:type="fixed"/>
        <w:tblCellMar>
          <w:top w:w="0" w:type="dxa"/>
          <w:left w:w="108" w:type="dxa"/>
          <w:bottom w:w="0" w:type="dxa"/>
          <w:right w:w="108" w:type="dxa"/>
        </w:tblCellMar>
      </w:tblPr>
      <w:tblGrid>
        <w:gridCol w:w="3345"/>
        <w:gridCol w:w="624"/>
        <w:gridCol w:w="611"/>
        <w:gridCol w:w="1316"/>
        <w:gridCol w:w="1628"/>
        <w:gridCol w:w="1547"/>
        <w:gridCol w:w="624"/>
        <w:gridCol w:w="1928"/>
        <w:gridCol w:w="35"/>
      </w:tblGrid>
      <w:tr>
        <w:tblPrEx>
          <w:tblCellMar>
            <w:top w:w="0" w:type="dxa"/>
            <w:left w:w="108" w:type="dxa"/>
            <w:bottom w:w="0" w:type="dxa"/>
            <w:right w:w="108" w:type="dxa"/>
          </w:tblCellMar>
        </w:tblPrEx>
        <w:trPr>
          <w:gridAfter w:val="1"/>
          <w:wAfter w:w="14" w:type="pct"/>
          <w:trHeight w:val="361" w:hRule="atLeast"/>
        </w:trPr>
        <w:tc>
          <w:tcPr>
            <w:tcW w:w="11623" w:type="dxa"/>
            <w:gridSpan w:val="8"/>
            <w:tcBorders>
              <w:top w:val="nil"/>
              <w:left w:val="nil"/>
              <w:bottom w:val="nil"/>
              <w:right w:val="nil"/>
            </w:tcBorders>
            <w:noWrap/>
            <w:vAlign w:val="bottom"/>
          </w:tcPr>
          <w:p>
            <w:pPr>
              <w:keepNext w:val="0"/>
              <w:keepLines w:val="0"/>
              <w:widowControl/>
              <w:suppressLineNumbers w:val="0"/>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CellMar>
            <w:top w:w="0" w:type="dxa"/>
            <w:left w:w="108" w:type="dxa"/>
            <w:bottom w:w="0" w:type="dxa"/>
            <w:right w:w="108" w:type="dxa"/>
          </w:tblCellMar>
        </w:tblPrEx>
        <w:trPr>
          <w:gridAfter w:val="1"/>
          <w:wAfter w:w="14" w:type="pct"/>
          <w:trHeight w:val="357" w:hRule="atLeast"/>
        </w:trPr>
        <w:tc>
          <w:tcPr>
            <w:tcW w:w="11623" w:type="dxa"/>
            <w:gridSpan w:val="8"/>
            <w:tcBorders>
              <w:top w:val="nil"/>
              <w:left w:val="nil"/>
              <w:bottom w:val="nil"/>
              <w:right w:val="nil"/>
            </w:tcBorders>
            <w:noWrap/>
            <w:vAlign w:val="bottom"/>
          </w:tcPr>
          <w:p>
            <w:pPr>
              <w:keepNext w:val="0"/>
              <w:keepLines w:val="0"/>
              <w:widowControl/>
              <w:suppressLineNumbers w:val="0"/>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CellMar>
            <w:top w:w="0" w:type="dxa"/>
            <w:left w:w="108" w:type="dxa"/>
            <w:bottom w:w="0" w:type="dxa"/>
            <w:right w:w="108" w:type="dxa"/>
          </w:tblCellMar>
        </w:tblPrEx>
        <w:trPr>
          <w:gridAfter w:val="1"/>
          <w:wAfter w:w="14" w:type="pct"/>
          <w:trHeight w:val="351" w:hRule="atLeast"/>
        </w:trPr>
        <w:tc>
          <w:tcPr>
            <w:tcW w:w="4580" w:type="dxa"/>
            <w:gridSpan w:val="3"/>
            <w:tcBorders>
              <w:top w:val="nil"/>
              <w:left w:val="nil"/>
              <w:bottom w:val="single" w:color="auto" w:sz="4" w:space="0"/>
              <w:right w:val="nil"/>
            </w:tcBorders>
            <w:noWrap/>
            <w:vAlign w:val="bottom"/>
          </w:tcPr>
          <w:p>
            <w:pPr>
              <w:jc w:val="both"/>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编制部门（单位）：枣强县人民法院</w:t>
            </w:r>
          </w:p>
        </w:tc>
        <w:tc>
          <w:tcPr>
            <w:tcW w:w="2944" w:type="dxa"/>
            <w:gridSpan w:val="2"/>
            <w:tcBorders>
              <w:top w:val="nil"/>
              <w:left w:val="nil"/>
              <w:bottom w:val="single" w:color="auto" w:sz="4" w:space="0"/>
              <w:right w:val="nil"/>
            </w:tcBorders>
            <w:noWrap/>
            <w:vAlign w:val="bottom"/>
          </w:tcPr>
          <w:p>
            <w:pPr>
              <w:jc w:val="center"/>
              <w:rPr>
                <w:rFonts w:ascii="宋体" w:hAnsi="宋体" w:eastAsia="宋体"/>
                <w:color w:val="000000"/>
                <w:sz w:val="20"/>
                <w:szCs w:val="20"/>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CellMar>
            <w:top w:w="0" w:type="dxa"/>
            <w:left w:w="108" w:type="dxa"/>
            <w:bottom w:w="0" w:type="dxa"/>
            <w:right w:w="108" w:type="dxa"/>
          </w:tblCellMar>
        </w:tblPrEx>
        <w:trPr>
          <w:gridAfter w:val="1"/>
          <w:wAfter w:w="14" w:type="pct"/>
          <w:trHeight w:val="544" w:hRule="atLeast"/>
        </w:trPr>
        <w:tc>
          <w:tcPr>
            <w:tcW w:w="5896"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CellMar>
            <w:top w:w="0" w:type="dxa"/>
            <w:left w:w="108" w:type="dxa"/>
            <w:bottom w:w="0" w:type="dxa"/>
            <w:right w:w="108" w:type="dxa"/>
          </w:tblCellMar>
        </w:tblPrEx>
        <w:trPr>
          <w:gridAfter w:val="1"/>
          <w:wAfter w:w="14" w:type="pct"/>
          <w:trHeight w:val="308"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7"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927"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宋体" w:hAnsi="宋体" w:eastAsia="宋体" w:cs="宋体"/>
                <w:i w:val="0"/>
                <w:iCs w:val="0"/>
                <w:color w:val="000000"/>
                <w:sz w:val="20"/>
                <w:szCs w:val="20"/>
                <w:highlight w:val="none"/>
                <w:u w:val="none"/>
                <w:lang w:val="en-US" w:eastAsia="zh-CN"/>
              </w:rPr>
              <w:t>1</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2,074.56</w:t>
            </w: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214.05</w:t>
            </w: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37.16</w:t>
            </w: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7" w:type="dxa"/>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108.44</w:t>
            </w:r>
          </w:p>
        </w:tc>
      </w:tr>
      <w:tr>
        <w:tblPrEx>
          <w:tblCellMar>
            <w:top w:w="0" w:type="dxa"/>
            <w:left w:w="108" w:type="dxa"/>
            <w:bottom w:w="0" w:type="dxa"/>
            <w:right w:w="108" w:type="dxa"/>
          </w:tblCellMar>
        </w:tblPrEx>
        <w:trPr>
          <w:gridAfter w:val="1"/>
          <w:wAfter w:w="14" w:type="pct"/>
          <w:trHeight w:val="476" w:hRule="atLeast"/>
        </w:trPr>
        <w:tc>
          <w:tcPr>
            <w:tcW w:w="3345"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7" w:type="dxa"/>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3345"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7"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r>
      <w:tr>
        <w:tblPrEx>
          <w:tblCellMar>
            <w:top w:w="0" w:type="dxa"/>
            <w:left w:w="108" w:type="dxa"/>
            <w:bottom w:w="0" w:type="dxa"/>
            <w:right w:w="108" w:type="dxa"/>
          </w:tblCellMar>
        </w:tblPrEx>
        <w:trPr>
          <w:trHeight w:val="308" w:hRule="atLeast"/>
        </w:trPr>
        <w:tc>
          <w:tcPr>
            <w:tcW w:w="11658" w:type="dxa"/>
            <w:gridSpan w:val="9"/>
            <w:tcBorders>
              <w:top w:val="nil"/>
              <w:left w:val="nil"/>
              <w:bottom w:val="nil"/>
              <w:right w:val="nil"/>
            </w:tcBorders>
            <w:noWrap/>
            <w:vAlign w:val="center"/>
          </w:tcPr>
          <w:p>
            <w:pPr>
              <w:keepNext w:val="0"/>
              <w:keepLines w:val="0"/>
              <w:widowControl/>
              <w:suppressLineNumbers w:val="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ascii="黑体" w:hAnsi="黑体" w:eastAsia="黑体"/>
          <w:bCs/>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233"/>
        <w:gridCol w:w="1245"/>
        <w:gridCol w:w="633"/>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CellMar>
            <w:top w:w="0" w:type="dxa"/>
            <w:left w:w="108" w:type="dxa"/>
            <w:bottom w:w="0" w:type="dxa"/>
            <w:right w:w="108" w:type="dxa"/>
          </w:tblCellMar>
        </w:tblPrEx>
        <w:trPr>
          <w:trHeight w:val="300" w:hRule="atLeast"/>
          <w:jc w:val="center"/>
        </w:trPr>
        <w:tc>
          <w:tcPr>
            <w:tcW w:w="3433"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编制部门（单位）：枣强县人民法院                                                                                                         </w:t>
            </w:r>
          </w:p>
        </w:tc>
        <w:tc>
          <w:tcPr>
            <w:tcW w:w="3209"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233"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245"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633"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233"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245"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3"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keepNext w:val="0"/>
              <w:keepLines w:val="0"/>
              <w:widowControl/>
              <w:suppressLineNumbers w:val="0"/>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0" w:type="auto"/>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233"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245"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3"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0" w:type="auto"/>
            <w:vMerge w:val="continue"/>
            <w:tcBorders>
              <w:left w:val="nil"/>
              <w:right w:val="single" w:color="000000" w:sz="4" w:space="0"/>
            </w:tcBorders>
            <w:vAlign w:val="center"/>
          </w:tcPr>
          <w:p>
            <w:pPr>
              <w:jc w:val="center"/>
              <w:rPr>
                <w:rFonts w:ascii="宋体" w:hAnsi="宋体" w:eastAsia="宋体"/>
                <w:color w:val="000000"/>
                <w:sz w:val="20"/>
                <w:szCs w:val="20"/>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0" w:type="auto"/>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233"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245"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3"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0" w:type="auto"/>
            <w:vMerge w:val="continue"/>
            <w:tcBorders>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233"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1</w:t>
            </w:r>
          </w:p>
        </w:tc>
        <w:tc>
          <w:tcPr>
            <w:tcW w:w="1245"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2</w:t>
            </w:r>
          </w:p>
        </w:tc>
        <w:tc>
          <w:tcPr>
            <w:tcW w:w="633"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sz w:val="20"/>
                <w:szCs w:val="20"/>
                <w:highlight w:val="none"/>
                <w:u w:val="none"/>
              </w:rPr>
              <w:t>2,434.23</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sz w:val="20"/>
                <w:szCs w:val="20"/>
                <w:highlight w:val="none"/>
                <w:u w:val="none"/>
              </w:rPr>
              <w:t>2,434.23</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公共安全支出</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2,074.56</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2,074.56</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20405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法院</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2,074.56</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2,074.56</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2040501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行政运行</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1,097.39</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1,097.39</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2040502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一般行政管理事务</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206.59</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206.59</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2040504</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案件审判</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432.21</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432.21</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2040599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其他法院支出</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338.37</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338.37</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社会保障和就业支出</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214.05</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214.05</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214.05</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214.05</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行政单位离退休</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115.71</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115.71</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98.35</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98.35</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卫生健康支出</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37.16</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37.16</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行政事业单位医疗</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37.16</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37.16</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行政单位医疗</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37.16</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37.16</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住房保障支出</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108.44</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108.44</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住房改革支出</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108.44</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108.44</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lang w:val="en-US" w:eastAsia="zh-CN"/>
              </w:rPr>
              <w:t>住房公积金</w:t>
            </w:r>
          </w:p>
        </w:tc>
        <w:tc>
          <w:tcPr>
            <w:tcW w:w="12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108.44</w:t>
            </w:r>
          </w:p>
        </w:tc>
        <w:tc>
          <w:tcPr>
            <w:tcW w:w="12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eastAsia="宋体" w:cs="Times New Roman"/>
                <w:spacing w:val="-2"/>
                <w:sz w:val="20"/>
                <w:szCs w:val="20"/>
                <w:lang w:val="en-US" w:eastAsia="zh-CN"/>
              </w:rPr>
              <w:t>108.44</w:t>
            </w:r>
          </w:p>
        </w:tc>
        <w:tc>
          <w:tcPr>
            <w:tcW w:w="63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pPr>
        <w:rPr>
          <w:rFonts w:ascii="宋体" w:hAnsi="宋体" w:eastAsia="宋体"/>
          <w:spacing w:val="-2"/>
          <w:sz w:val="20"/>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440"/>
        <w:gridCol w:w="1236"/>
        <w:gridCol w:w="1170"/>
        <w:gridCol w:w="1080"/>
        <w:gridCol w:w="136"/>
        <w:gridCol w:w="622"/>
        <w:gridCol w:w="1123"/>
        <w:gridCol w:w="1499"/>
      </w:tblGrid>
      <w:tr>
        <w:tblPrEx>
          <w:tblCellMar>
            <w:top w:w="0" w:type="dxa"/>
            <w:left w:w="108" w:type="dxa"/>
            <w:bottom w:w="0" w:type="dxa"/>
            <w:right w:w="108" w:type="dxa"/>
          </w:tblCellMar>
        </w:tblPrEx>
        <w:trPr>
          <w:trHeight w:val="550" w:hRule="atLeast"/>
          <w:jc w:val="center"/>
        </w:trPr>
        <w:tc>
          <w:tcPr>
            <w:tcW w:w="5000" w:type="pct"/>
            <w:gridSpan w:val="9"/>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1988"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编制部门（单位）：枣强县人民法院 </w:t>
            </w:r>
            <w:r>
              <w:rPr>
                <w:rFonts w:hint="eastAsia" w:asciiTheme="minorEastAsia" w:hAnsiTheme="minorEastAsia" w:cstheme="minorEastAsia"/>
                <w:color w:val="000000"/>
                <w:sz w:val="20"/>
                <w:szCs w:val="20"/>
              </w:rPr>
              <w:t xml:space="preserve">                                                                                                         </w:t>
            </w:r>
          </w:p>
        </w:tc>
        <w:tc>
          <w:tcPr>
            <w:tcW w:w="1276"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35"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tblPrEx>
          <w:tblCellMar>
            <w:top w:w="0" w:type="dxa"/>
            <w:left w:w="108" w:type="dxa"/>
            <w:bottom w:w="0" w:type="dxa"/>
            <w:right w:w="108" w:type="dxa"/>
          </w:tblCellMar>
        </w:tblPrEx>
        <w:trPr>
          <w:trHeight w:val="510" w:hRule="atLeast"/>
          <w:jc w:val="center"/>
        </w:trPr>
        <w:tc>
          <w:tcPr>
            <w:tcW w:w="1326"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61"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25"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77"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405"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0"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801"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70"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61"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2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577"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405"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0"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801"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70"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61"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2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577"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405"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0"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801"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70"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61"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2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577"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405"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0"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801"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326"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61"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25"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577"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405"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0"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01"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tblPrEx>
          <w:tblCellMar>
            <w:top w:w="0" w:type="dxa"/>
            <w:left w:w="108" w:type="dxa"/>
            <w:bottom w:w="0" w:type="dxa"/>
            <w:right w:w="108" w:type="dxa"/>
          </w:tblCellMar>
        </w:tblPrEx>
        <w:trPr>
          <w:trHeight w:val="308" w:hRule="atLeast"/>
          <w:jc w:val="center"/>
        </w:trPr>
        <w:tc>
          <w:tcPr>
            <w:tcW w:w="1326"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2,434.23</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1,457.05</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977.18</w:t>
            </w: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公共安全支出</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2,074.56</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1,097.39</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977.18</w:t>
            </w: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法院</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2,074.56</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1,097.39</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977.18</w:t>
            </w: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2040501</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1,097.39</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1,097.39</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2040502</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206.59</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206.59</w:t>
            </w: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2040504</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案件审判</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432.21</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432.21</w:t>
            </w: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2040599</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其他法院支出</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338.37</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338.37</w:t>
            </w: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214.05</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214.05</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214.05</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214.05</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115.71</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115.71</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98.35</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98.35</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70"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6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62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577"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5"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0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9"/>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3"/>
        <w:gridCol w:w="624"/>
        <w:gridCol w:w="1427"/>
        <w:gridCol w:w="1659"/>
        <w:gridCol w:w="439"/>
        <w:gridCol w:w="624"/>
        <w:gridCol w:w="458"/>
        <w:gridCol w:w="837"/>
        <w:gridCol w:w="1219"/>
        <w:gridCol w:w="1219"/>
        <w:gridCol w:w="1219"/>
      </w:tblGrid>
      <w:tr>
        <w:tblPrEx>
          <w:tblCellMar>
            <w:top w:w="0" w:type="dxa"/>
            <w:left w:w="108" w:type="dxa"/>
            <w:bottom w:w="0" w:type="dxa"/>
            <w:right w:w="108" w:type="dxa"/>
          </w:tblCellMar>
        </w:tblPrEx>
        <w:trPr>
          <w:trHeight w:val="550" w:hRule="atLeast"/>
        </w:trPr>
        <w:tc>
          <w:tcPr>
            <w:tcW w:w="11708" w:type="dxa"/>
            <w:gridSpan w:val="11"/>
            <w:tcBorders>
              <w:top w:val="nil"/>
              <w:left w:val="nil"/>
              <w:bottom w:val="nil"/>
              <w:right w:val="nil"/>
            </w:tcBorders>
            <w:noWrap/>
            <w:vAlign w:val="bottom"/>
          </w:tcPr>
          <w:p>
            <w:pPr>
              <w:keepNext w:val="0"/>
              <w:keepLines w:val="0"/>
              <w:widowControl/>
              <w:suppressLineNumbers w:val="0"/>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CellMar>
            <w:top w:w="0" w:type="dxa"/>
            <w:left w:w="108" w:type="dxa"/>
            <w:bottom w:w="0" w:type="dxa"/>
            <w:right w:w="108" w:type="dxa"/>
          </w:tblCellMar>
        </w:tblPrEx>
        <w:trPr>
          <w:trHeight w:val="300" w:hRule="atLeast"/>
        </w:trPr>
        <w:tc>
          <w:tcPr>
            <w:tcW w:w="11708" w:type="dxa"/>
            <w:gridSpan w:val="11"/>
            <w:tcBorders>
              <w:top w:val="nil"/>
              <w:left w:val="nil"/>
              <w:bottom w:val="nil"/>
              <w:right w:val="nil"/>
            </w:tcBorders>
            <w:noWrap/>
            <w:vAlign w:val="bottom"/>
          </w:tcPr>
          <w:p>
            <w:pPr>
              <w:keepNext w:val="0"/>
              <w:keepLines w:val="0"/>
              <w:widowControl/>
              <w:suppressLineNumbers w:val="0"/>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CellMar>
            <w:top w:w="0" w:type="dxa"/>
            <w:left w:w="108" w:type="dxa"/>
            <w:bottom w:w="0" w:type="dxa"/>
            <w:right w:w="108" w:type="dxa"/>
          </w:tblCellMar>
        </w:tblPrEx>
        <w:trPr>
          <w:trHeight w:val="300" w:hRule="atLeast"/>
        </w:trPr>
        <w:tc>
          <w:tcPr>
            <w:tcW w:w="5693" w:type="dxa"/>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编制部门（单位）：枣强县人民法院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CellMar>
            <w:top w:w="0" w:type="dxa"/>
            <w:left w:w="108" w:type="dxa"/>
            <w:bottom w:w="0" w:type="dxa"/>
            <w:right w:w="108" w:type="dxa"/>
          </w:tblCellMar>
        </w:tblPrEx>
        <w:trPr>
          <w:trHeight w:val="308" w:hRule="atLeast"/>
        </w:trPr>
        <w:tc>
          <w:tcPr>
            <w:tcW w:w="4034"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CellMar>
            <w:top w:w="0" w:type="dxa"/>
            <w:left w:w="108" w:type="dxa"/>
            <w:bottom w:w="0" w:type="dxa"/>
            <w:right w:w="108" w:type="dxa"/>
          </w:tblCellMar>
        </w:tblPrEx>
        <w:trPr>
          <w:trHeight w:val="312" w:hRule="atLeast"/>
        </w:trPr>
        <w:tc>
          <w:tcPr>
            <w:tcW w:w="1983"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CellMar>
            <w:top w:w="0" w:type="dxa"/>
            <w:left w:w="108" w:type="dxa"/>
            <w:bottom w:w="0" w:type="dxa"/>
            <w:right w:w="108" w:type="dxa"/>
          </w:tblCellMar>
        </w:tblPrEx>
        <w:trPr>
          <w:trHeight w:val="312" w:hRule="atLeast"/>
        </w:trPr>
        <w:tc>
          <w:tcPr>
            <w:tcW w:w="0" w:type="auto"/>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0" w:type="auto"/>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0" w:type="auto"/>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0" w:type="auto"/>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0" w:type="auto"/>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0" w:type="auto"/>
            <w:gridSpan w:val="2"/>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0" w:type="auto"/>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0" w:type="auto"/>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0" w:type="auto"/>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ascii="宋体" w:hAnsi="宋体" w:eastAsia="宋体"/>
                <w:color w:val="000000"/>
                <w:sz w:val="20"/>
                <w:szCs w:val="20"/>
              </w:rPr>
            </w:pPr>
            <w:r>
              <w:rPr>
                <w:rFonts w:hint="eastAsia" w:ascii="宋体" w:hAnsi="宋体" w:eastAsia="宋体" w:cs="宋体"/>
                <w:i w:val="0"/>
                <w:iCs w:val="0"/>
                <w:color w:val="000000"/>
                <w:kern w:val="0"/>
                <w:sz w:val="20"/>
                <w:szCs w:val="20"/>
                <w:highlight w:val="none"/>
                <w:u w:val="none"/>
                <w:lang w:val="en-US" w:eastAsia="zh-CN" w:bidi="ar"/>
              </w:rPr>
              <w:t>5</w:t>
            </w: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2,074.56</w:t>
            </w: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2,074.56</w:t>
            </w: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214.05</w:t>
            </w: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214.05</w:t>
            </w: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37.16</w:t>
            </w: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37.16</w:t>
            </w: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108.44</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108.44</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both"/>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both"/>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2098" w:type="dxa"/>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1983"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hint="default" w:ascii="Times New Roman" w:hAnsi="Times New Roman" w:cs="Times New Roman"/>
                <w:sz w:val="20"/>
                <w:szCs w:val="20"/>
                <w:highlight w:val="none"/>
              </w:rPr>
              <w:t>2,434.23</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2,434.23</w:t>
            </w:r>
          </w:p>
          <w:p>
            <w:pPr>
              <w:jc w:val="right"/>
              <w:rPr>
                <w:rFonts w:ascii="Times New Roman" w:hAnsi="Times New Roman" w:eastAsia="宋体" w:cs="Times New Roman"/>
                <w:color w:val="000000"/>
                <w:sz w:val="20"/>
                <w:szCs w:val="20"/>
              </w:rPr>
            </w:pPr>
          </w:p>
        </w:tc>
        <w:tc>
          <w:tcPr>
            <w:tcW w:w="1219" w:type="dxa"/>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219" w:type="dxa"/>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宋体" w:hAnsi="宋体" w:eastAsia="宋体"/>
          <w:spacing w:val="-2"/>
          <w:sz w:val="20"/>
        </w:rPr>
      </w:pPr>
    </w:p>
    <w:tbl>
      <w:tblPr>
        <w:tblStyle w:val="11"/>
        <w:tblW w:w="5455" w:type="pct"/>
        <w:tblInd w:w="-657" w:type="dxa"/>
        <w:tblLayout w:type="autofit"/>
        <w:tblCellMar>
          <w:top w:w="0" w:type="dxa"/>
          <w:left w:w="108" w:type="dxa"/>
          <w:bottom w:w="0" w:type="dxa"/>
          <w:right w:w="108" w:type="dxa"/>
        </w:tblCellMar>
      </w:tblPr>
      <w:tblGrid>
        <w:gridCol w:w="919"/>
        <w:gridCol w:w="3416"/>
        <w:gridCol w:w="387"/>
        <w:gridCol w:w="919"/>
        <w:gridCol w:w="1037"/>
        <w:gridCol w:w="383"/>
        <w:gridCol w:w="1711"/>
      </w:tblGrid>
      <w:tr>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编制部门（单位）：枣强县人民法院</w:t>
            </w:r>
          </w:p>
        </w:tc>
        <w:tc>
          <w:tcPr>
            <w:tcW w:w="155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91"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52" w:type="pct"/>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4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3"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2,434.23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1,457.05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977.18</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2,074.56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977.18</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法院</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2,074.56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977.18</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1,097.39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206.59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206.59</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案件审判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432.21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432.21</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2040599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其他法院支出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338.37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338.37</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214.05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214.05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214.05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214.05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115.71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115.71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98.35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98.35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108.44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4"/>
        <w:gridCol w:w="1020"/>
        <w:gridCol w:w="964"/>
        <w:gridCol w:w="438"/>
        <w:gridCol w:w="1375"/>
        <w:gridCol w:w="587"/>
        <w:gridCol w:w="377"/>
        <w:gridCol w:w="964"/>
        <w:gridCol w:w="1814"/>
        <w:gridCol w:w="1020"/>
      </w:tblGrid>
      <w:tr>
        <w:tblPrEx>
          <w:tblCellMar>
            <w:top w:w="0" w:type="dxa"/>
            <w:left w:w="108" w:type="dxa"/>
            <w:bottom w:w="0" w:type="dxa"/>
            <w:right w:w="108" w:type="dxa"/>
          </w:tblCellMar>
        </w:tblPrEx>
        <w:trPr>
          <w:trHeight w:val="624" w:hRule="atLeast"/>
        </w:trPr>
        <w:tc>
          <w:tcPr>
            <w:tcW w:w="11336" w:type="dxa"/>
            <w:gridSpan w:val="11"/>
            <w:tcBorders>
              <w:top w:val="nil"/>
              <w:left w:val="nil"/>
              <w:bottom w:val="nil"/>
              <w:right w:val="nil"/>
            </w:tcBorders>
            <w:noWrap/>
            <w:vAlign w:val="bottom"/>
          </w:tcPr>
          <w:p>
            <w:pPr>
              <w:keepNext w:val="0"/>
              <w:keepLines w:val="0"/>
              <w:widowControl/>
              <w:suppressLineNumbers w:val="0"/>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CellMar>
            <w:top w:w="0" w:type="dxa"/>
            <w:left w:w="108" w:type="dxa"/>
            <w:bottom w:w="0" w:type="dxa"/>
            <w:right w:w="108" w:type="dxa"/>
          </w:tblCellMar>
        </w:tblPrEx>
        <w:trPr>
          <w:trHeight w:val="300" w:hRule="atLeast"/>
        </w:trPr>
        <w:tc>
          <w:tcPr>
            <w:tcW w:w="11336" w:type="dxa"/>
            <w:gridSpan w:val="11"/>
            <w:tcBorders>
              <w:top w:val="nil"/>
              <w:left w:val="nil"/>
              <w:bottom w:val="nil"/>
              <w:right w:val="nil"/>
            </w:tcBorders>
            <w:noWrap/>
            <w:vAlign w:val="bottom"/>
          </w:tcPr>
          <w:p>
            <w:pPr>
              <w:keepNext w:val="0"/>
              <w:keepLines w:val="0"/>
              <w:widowControl/>
              <w:suppressLineNumbers w:val="0"/>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CellMar>
            <w:top w:w="0" w:type="dxa"/>
            <w:left w:w="108" w:type="dxa"/>
            <w:bottom w:w="0" w:type="dxa"/>
            <w:right w:w="108" w:type="dxa"/>
          </w:tblCellMar>
        </w:tblPrEx>
        <w:trPr>
          <w:trHeight w:val="90" w:hRule="atLeast"/>
        </w:trPr>
        <w:tc>
          <w:tcPr>
            <w:tcW w:w="5199" w:type="dxa"/>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编制部门（单位）：枣强县人民法院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2" w:type="dxa"/>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CellMar>
            <w:top w:w="0" w:type="dxa"/>
            <w:left w:w="108" w:type="dxa"/>
            <w:bottom w:w="0" w:type="dxa"/>
            <w:right w:w="108" w:type="dxa"/>
          </w:tblCellMar>
        </w:tblPrEx>
        <w:trPr>
          <w:trHeight w:val="510" w:hRule="atLeast"/>
        </w:trPr>
        <w:tc>
          <w:tcPr>
            <w:tcW w:w="3797"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39"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highlight w:val="none"/>
                <w:lang w:eastAsia="zh-CN"/>
              </w:rPr>
              <w:t>1,198.34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highlight w:val="none"/>
                <w:lang w:eastAsia="zh-CN"/>
              </w:rPr>
              <w:t>143.00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highlight w:val="none"/>
                <w:lang w:eastAsia="zh-CN"/>
              </w:rPr>
              <w:t>355.09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highlight w:val="none"/>
                <w:lang w:eastAsia="zh-CN"/>
              </w:rPr>
              <w:t>11.43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highlight w:val="none"/>
                <w:lang w:eastAsia="zh-CN"/>
              </w:rPr>
              <w:t>405.91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highlight w:val="none"/>
                <w:lang w:eastAsia="zh-CN"/>
              </w:rPr>
              <w:t>1.62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highlight w:val="none"/>
                <w:lang w:eastAsia="zh-CN"/>
              </w:rPr>
              <w:t>190.17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highlight w:val="none"/>
                <w:lang w:eastAsia="zh-CN"/>
              </w:rPr>
              <w:t>0.43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highlight w:val="none"/>
                <w:lang w:eastAsia="zh-CN"/>
              </w:rPr>
              <w:t>98.35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highlight w:val="none"/>
                <w:lang w:eastAsia="zh-CN"/>
              </w:rPr>
              <w:t>8.10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highlight w:val="none"/>
                <w:lang w:eastAsia="zh-CN"/>
              </w:rPr>
              <w:t>16.22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37.16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8.81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2.83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1.99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108.44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0.39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2.05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115.71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0.42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115.71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0.03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0.34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8.32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9.30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20.70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50.10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hint="default" w:ascii="Times New Roman" w:hAnsi="Times New Roman" w:cs="Times New Roman" w:eastAsiaTheme="minorEastAsia"/>
                <w:sz w:val="18"/>
                <w:szCs w:val="18"/>
                <w:highlight w:val="none"/>
              </w:rPr>
              <w:t>3.13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963" w:type="dxa"/>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1813"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ascii="Times New Roman" w:hAnsi="Times New Roman"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277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default" w:ascii="Times New Roman" w:hAnsi="Times New Roman" w:cs="Times New Roman" w:eastAsiaTheme="minorEastAsia"/>
                <w:sz w:val="18"/>
                <w:szCs w:val="18"/>
                <w:highlight w:val="none"/>
              </w:rPr>
              <w:t>1,314.05</w:t>
            </w:r>
          </w:p>
        </w:tc>
        <w:tc>
          <w:tcPr>
            <w:tcW w:w="6519"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default" w:ascii="Times New Roman" w:hAnsi="Times New Roman" w:cs="Times New Roman" w:eastAsiaTheme="minorEastAsia"/>
                <w:sz w:val="18"/>
                <w:szCs w:val="18"/>
                <w:highlight w:val="none"/>
              </w:rPr>
              <w:t>143.00</w:t>
            </w:r>
          </w:p>
        </w:tc>
      </w:tr>
      <w:tr>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pPr>
        <w:rPr>
          <w:rFonts w:ascii="仿宋_GB2312" w:hAnsi="宋体" w:eastAsia="仿宋_GB2312"/>
          <w:b/>
          <w:sz w:val="32"/>
          <w:szCs w:val="32"/>
        </w:rPr>
      </w:pPr>
      <w:r>
        <w:rPr>
          <w:rFonts w:hint="eastAsia" w:ascii="仿宋_GB2312" w:hAnsi="宋体" w:eastAsia="仿宋_GB2312"/>
          <w:b/>
          <w:sz w:val="32"/>
          <w:szCs w:val="32"/>
        </w:rPr>
        <w:br w:type="page"/>
      </w:r>
      <w:bookmarkStart w:id="0" w:name="_GoBack"/>
      <w:bookmarkEnd w:id="0"/>
    </w:p>
    <w:p>
      <w:pPr>
        <w:jc w:val="center"/>
        <w:rPr>
          <w:rFonts w:ascii="仿宋_GB2312" w:hAnsi="宋体" w:eastAsia="仿宋_GB2312"/>
          <w:b/>
          <w:sz w:val="32"/>
          <w:szCs w:val="32"/>
        </w:rPr>
      </w:pP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编制部门（单位）：枣强县人民法院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p>
          <w:p>
            <w:pPr>
              <w:ind w:firstLine="400" w:firstLineChars="200"/>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本部门本年度无相关收入（或支出、收支及结转结余等）情况，按要求空表列示。</w:t>
            </w:r>
          </w:p>
          <w:p>
            <w:pPr>
              <w:rPr>
                <w:rFonts w:ascii="宋体" w:hAnsi="宋体"/>
                <w:color w:val="000000"/>
                <w:sz w:val="20"/>
                <w:szCs w:val="20"/>
              </w:rPr>
            </w:pPr>
          </w:p>
        </w:tc>
      </w:tr>
    </w:tbl>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2017"/>
        <w:gridCol w:w="730"/>
        <w:gridCol w:w="1298"/>
        <w:gridCol w:w="1336"/>
        <w:gridCol w:w="45"/>
        <w:gridCol w:w="1291"/>
        <w:gridCol w:w="1323"/>
      </w:tblGrid>
      <w:tr>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编制部门（单位）：枣强县人民法院</w:t>
            </w:r>
          </w:p>
        </w:tc>
        <w:tc>
          <w:tcPr>
            <w:tcW w:w="1666"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24" w:type="pct"/>
            <w:gridSpan w:val="2"/>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484" w:type="pct"/>
            <w:gridSpan w:val="4"/>
            <w:vMerge w:val="restart"/>
            <w:tcBorders>
              <w:top w:val="single" w:color="auto" w:sz="4" w:space="0"/>
              <w:left w:val="single" w:color="auto"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4"/>
            <w:vMerge w:val="continue"/>
            <w:tcBorders>
              <w:left w:val="single" w:color="auto"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2"/>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31" w:type="pct"/>
            <w:gridSpan w:val="2"/>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47"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7"/>
            <w:tcBorders>
              <w:top w:val="nil"/>
              <w:left w:val="nil"/>
              <w:bottom w:val="nil"/>
              <w:right w:val="nil"/>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w:t>
            </w:r>
          </w:p>
          <w:p>
            <w:pPr>
              <w:ind w:firstLine="400" w:firstLineChars="200"/>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本部门本年度无相关收入（或支出、收支及结转结余等）情况，按要求空表列示。</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编制部门（单位）：枣强县人民法院</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64.55</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64.00</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40.00</w:t>
            </w: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24.00</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0.55</w:t>
            </w: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58.46</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58.46</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37.76</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20.70</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本部门2023年度收、支总计（含结转和结余）</w:t>
      </w:r>
      <w:r>
        <w:rPr>
          <w:rFonts w:ascii="Times New Roman" w:hAnsi="Times New Roman" w:eastAsia="仿宋_GB2312" w:cs="Times New Roman"/>
          <w:kern w:val="2"/>
          <w:sz w:val="32"/>
          <w:szCs w:val="32"/>
          <w:lang w:val="zh-CN"/>
        </w:rPr>
        <w:t>2,434.23</w:t>
      </w:r>
      <w:r>
        <w:rPr>
          <w:rFonts w:ascii="Times New Roman" w:hAnsi="Times New Roman" w:eastAsia="仿宋_GB2312" w:cs="Times New Roman"/>
          <w:kern w:val="2"/>
          <w:sz w:val="32"/>
          <w:szCs w:val="32"/>
        </w:rPr>
        <w:t>万元。与2022年度决算相比，收支各增加</w:t>
      </w:r>
      <w:r>
        <w:rPr>
          <w:rFonts w:hint="eastAsia" w:ascii="Times New Roman" w:hAnsi="Times New Roman" w:eastAsia="仿宋_GB2312" w:cs="Times New Roman"/>
          <w:kern w:val="2"/>
          <w:sz w:val="32"/>
          <w:szCs w:val="32"/>
        </w:rPr>
        <w:t>291.35</w:t>
      </w:r>
      <w:r>
        <w:rPr>
          <w:rFonts w:ascii="Times New Roman" w:hAnsi="Times New Roman" w:eastAsia="仿宋_GB2312" w:cs="Times New Roman"/>
          <w:kern w:val="2"/>
          <w:sz w:val="32"/>
          <w:szCs w:val="32"/>
        </w:rPr>
        <w:t>万元，增长</w:t>
      </w:r>
      <w:r>
        <w:rPr>
          <w:rFonts w:hint="eastAsia" w:ascii="Times New Roman" w:hAnsi="Times New Roman" w:eastAsia="仿宋_GB2312" w:cs="Times New Roman"/>
          <w:kern w:val="2"/>
          <w:sz w:val="32"/>
          <w:szCs w:val="32"/>
        </w:rPr>
        <w:t>13.60</w:t>
      </w:r>
      <w:r>
        <w:rPr>
          <w:rFonts w:ascii="Times New Roman" w:hAnsi="Times New Roman" w:eastAsia="仿宋_GB2312" w:cs="Times New Roman"/>
          <w:kern w:val="2"/>
          <w:sz w:val="32"/>
          <w:szCs w:val="32"/>
        </w:rPr>
        <w:t>%，主要原因是</w:t>
      </w:r>
      <w:r>
        <w:rPr>
          <w:rFonts w:hint="eastAsia" w:ascii="Times New Roman" w:hAnsi="Times New Roman" w:eastAsia="仿宋_GB2312"/>
          <w:kern w:val="2"/>
          <w:sz w:val="32"/>
          <w:szCs w:val="32"/>
          <w:lang w:val="zh-CN"/>
        </w:rPr>
        <w:t>案件增加，维持正常办案的需要</w:t>
      </w:r>
      <w:r>
        <w:rPr>
          <w:rFonts w:ascii="Times New Roman" w:hAnsi="Times New Roman" w:eastAsia="仿宋_GB2312" w:cs="Times New Roman"/>
          <w:kern w:val="2"/>
          <w:sz w:val="32"/>
          <w:szCs w:val="32"/>
        </w:rPr>
        <w:t>。</w:t>
      </w:r>
    </w:p>
    <w:p>
      <w:pPr>
        <w:autoSpaceDE w:val="0"/>
        <w:autoSpaceDN w:val="0"/>
        <w:adjustRightInd w:val="0"/>
        <w:spacing w:line="580" w:lineRule="exact"/>
        <w:ind w:firstLine="640" w:firstLineChars="200"/>
        <w:jc w:val="left"/>
        <w:rPr>
          <w:rFonts w:ascii="Times New Roman" w:hAnsi="Times New Roman" w:eastAsia="Arial"/>
        </w:rPr>
      </w:pPr>
      <w:r>
        <w:rPr>
          <w:rFonts w:hint="eastAsia" w:ascii="Times New Roman" w:hAnsi="Times New Roman" w:eastAsia="仿宋_GB2312"/>
          <w:kern w:val="2"/>
          <w:sz w:val="32"/>
          <w:szCs w:val="32"/>
        </w:rPr>
        <w:drawing>
          <wp:anchor distT="0" distB="0" distL="114300" distR="114300" simplePos="0" relativeHeight="251667456" behindDoc="0" locked="0" layoutInCell="1" allowOverlap="1">
            <wp:simplePos x="0" y="0"/>
            <wp:positionH relativeFrom="column">
              <wp:posOffset>23495</wp:posOffset>
            </wp:positionH>
            <wp:positionV relativeFrom="paragraph">
              <wp:posOffset>351790</wp:posOffset>
            </wp:positionV>
            <wp:extent cx="5230495" cy="3047365"/>
            <wp:effectExtent l="4445" t="4445" r="7620" b="11430"/>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eastAsia="Arial"/>
          <w:color w:val="000000"/>
          <w:sz w:val="18"/>
          <w:szCs w:val="18"/>
          <w:shd w:val="clear" w:color="auto" w:fill="FFFFFF"/>
        </w:rPr>
        <w:t> </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本部门2023年度本年收入合计</w:t>
      </w:r>
      <w:r>
        <w:rPr>
          <w:rFonts w:ascii="Times New Roman" w:hAnsi="Times New Roman" w:eastAsia="仿宋_GB2312" w:cs="Times New Roman"/>
          <w:sz w:val="30"/>
          <w:szCs w:val="30"/>
        </w:rPr>
        <w:t>2,434.23</w:t>
      </w:r>
      <w:r>
        <w:rPr>
          <w:rFonts w:ascii="Times New Roman" w:hAnsi="Times New Roman" w:eastAsia="仿宋_GB2312" w:cs="Times New Roman"/>
          <w:kern w:val="2"/>
          <w:sz w:val="32"/>
          <w:szCs w:val="32"/>
          <w:lang w:val="zh-CN"/>
        </w:rPr>
        <w:t>万元，其中：财政拨款收入2,434.23万元，占100%；上级补助收入0万元，占0%；事业收入0万元，占0%；经营收入0万元，占0%；附属单位上缴收入0万元，占0%；其他收入0万元，占0%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本部门2023年度本年支出合计2,434.23万元，其中：基本支出1,457.05万元，占59.86%；项目支出977.18万元，占40.14%；上缴上级支出0万元，占0%；经营支出0万元，占0%；对附属单位补助支出0万元，占0%</w:t>
      </w:r>
      <w:r>
        <w:rPr>
          <w:rFonts w:hint="eastAsia" w:ascii="Times New Roman" w:hAnsi="Times New Roman" w:eastAsia="仿宋_GB2312" w:cs="Times New Roman"/>
          <w:kern w:val="2"/>
          <w:sz w:val="32"/>
          <w:szCs w:val="32"/>
          <w:lang w:val="zh-CN"/>
        </w:rPr>
        <w:t>。</w:t>
      </w:r>
    </w:p>
    <w:p>
      <w:pPr>
        <w:autoSpaceDE w:val="0"/>
        <w:autoSpaceDN w:val="0"/>
        <w:adjustRightInd w:val="0"/>
        <w:spacing w:line="580" w:lineRule="exact"/>
        <w:ind w:firstLine="600"/>
        <w:jc w:val="left"/>
        <w:rPr>
          <w:rFonts w:ascii="Times New Roman" w:hAnsi="Times New Roman" w:eastAsia="仿宋_GB2312" w:cs="Times New Roman"/>
          <w:kern w:val="2"/>
          <w:sz w:val="32"/>
          <w:szCs w:val="32"/>
          <w:lang w:val="zh-CN"/>
        </w:rPr>
      </w:pPr>
      <w:r>
        <w:rPr>
          <w:rFonts w:hint="eastAsia" w:ascii="Times New Roman" w:hAnsi="Times New Roman" w:eastAsia="仿宋_GB2312" w:cs="Times New Roman"/>
          <w:kern w:val="2"/>
          <w:sz w:val="32"/>
          <w:szCs w:val="32"/>
        </w:rPr>
        <w:drawing>
          <wp:anchor distT="0" distB="0" distL="114300" distR="114300" simplePos="0" relativeHeight="251668480" behindDoc="0" locked="0" layoutInCell="1" allowOverlap="1">
            <wp:simplePos x="0" y="0"/>
            <wp:positionH relativeFrom="column">
              <wp:posOffset>728980</wp:posOffset>
            </wp:positionH>
            <wp:positionV relativeFrom="paragraph">
              <wp:posOffset>144145</wp:posOffset>
            </wp:positionV>
            <wp:extent cx="4142740" cy="2646045"/>
            <wp:effectExtent l="4445" t="4445" r="13335" b="16510"/>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0"/>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年度财政拨款本年收入2,434.23</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元,比上年增加</w:t>
      </w:r>
      <w:r>
        <w:rPr>
          <w:rFonts w:hint="eastAsia" w:ascii="Times New Roman" w:hAnsi="Times New Roman" w:eastAsia="仿宋_GB2312"/>
          <w:kern w:val="2"/>
          <w:sz w:val="32"/>
          <w:szCs w:val="32"/>
        </w:rPr>
        <w:t>291.35</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rPr>
        <w:t>13.60</w:t>
      </w:r>
      <w:r>
        <w:rPr>
          <w:rFonts w:ascii="Times New Roman" w:hAnsi="Times New Roman" w:eastAsia="仿宋_GB2312"/>
          <w:kern w:val="2"/>
          <w:sz w:val="32"/>
          <w:szCs w:val="32"/>
          <w:lang w:val="zh-CN"/>
        </w:rPr>
        <w:t>%，主要</w:t>
      </w:r>
      <w:r>
        <w:rPr>
          <w:rFonts w:hint="eastAsia" w:ascii="Times New Roman" w:hAnsi="Times New Roman" w:eastAsia="仿宋_GB2312"/>
          <w:kern w:val="2"/>
          <w:sz w:val="32"/>
          <w:szCs w:val="32"/>
          <w:lang w:val="zh-CN"/>
        </w:rPr>
        <w:t>是案件增加，维持正常办案的需要</w:t>
      </w:r>
      <w:r>
        <w:rPr>
          <w:rFonts w:ascii="Times New Roman" w:hAnsi="Times New Roman" w:eastAsia="仿宋_GB2312"/>
          <w:kern w:val="2"/>
          <w:sz w:val="32"/>
          <w:szCs w:val="32"/>
          <w:lang w:val="zh-CN"/>
        </w:rPr>
        <w:t>；本年支出 2,434.23</w:t>
      </w:r>
      <w:r>
        <w:rPr>
          <w:rFonts w:hint="eastAsia" w:ascii="Times New Roman" w:hAnsi="Times New Roman" w:eastAsia="仿宋_GB2312"/>
          <w:kern w:val="2"/>
          <w:sz w:val="32"/>
          <w:szCs w:val="32"/>
          <w:lang w:val="zh-CN"/>
        </w:rPr>
        <w:t>万</w:t>
      </w:r>
      <w:r>
        <w:rPr>
          <w:rFonts w:ascii="Times New Roman" w:hAnsi="Times New Roman" w:eastAsia="仿宋_GB2312"/>
          <w:kern w:val="2"/>
          <w:sz w:val="32"/>
          <w:szCs w:val="32"/>
          <w:lang w:val="zh-CN"/>
        </w:rPr>
        <w:t>元，比上年增加</w:t>
      </w:r>
      <w:r>
        <w:rPr>
          <w:rFonts w:hint="eastAsia" w:ascii="Times New Roman" w:hAnsi="Times New Roman" w:eastAsia="仿宋_GB2312"/>
          <w:kern w:val="2"/>
          <w:sz w:val="32"/>
          <w:szCs w:val="32"/>
        </w:rPr>
        <w:t>291.35</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rPr>
        <w:t>13.60</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案件增加，维持正常办案的需要</w:t>
      </w:r>
      <w:r>
        <w:rPr>
          <w:rFonts w:ascii="Times New Roman" w:hAnsi="Times New Roman" w:eastAsia="仿宋_GB2312"/>
          <w:kern w:val="2"/>
          <w:sz w:val="32"/>
          <w:szCs w:val="32"/>
          <w:lang w:val="zh-CN"/>
        </w:rPr>
        <w:t>。具体情况如下：</w:t>
      </w:r>
    </w:p>
    <w:p>
      <w:pPr>
        <w:numPr>
          <w:ilvl w:val="0"/>
          <w:numId w:val="2"/>
        </w:num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一般公共预算财政拨款本年收入2,434.23万元,比上年增加</w:t>
      </w:r>
      <w:r>
        <w:rPr>
          <w:rFonts w:hint="eastAsia" w:ascii="Times New Roman" w:hAnsi="Times New Roman" w:eastAsia="仿宋_GB2312"/>
          <w:kern w:val="2"/>
          <w:sz w:val="32"/>
          <w:szCs w:val="32"/>
        </w:rPr>
        <w:t>291.35</w:t>
      </w:r>
      <w:r>
        <w:rPr>
          <w:rFonts w:ascii="Times New Roman" w:hAnsi="Times New Roman" w:eastAsia="仿宋_GB2312"/>
          <w:kern w:val="2"/>
          <w:sz w:val="32"/>
          <w:szCs w:val="32"/>
          <w:lang w:val="zh-CN"/>
        </w:rPr>
        <w:t>万元</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val="zh-CN"/>
        </w:rPr>
        <w:t>案件增加，维持正常办案的需要</w:t>
      </w:r>
      <w:r>
        <w:rPr>
          <w:rFonts w:ascii="Times New Roman" w:hAnsi="Times New Roman" w:eastAsia="仿宋_GB2312" w:cs="Times New Roman"/>
          <w:kern w:val="2"/>
          <w:sz w:val="32"/>
          <w:szCs w:val="32"/>
          <w:lang w:val="zh-CN"/>
        </w:rPr>
        <w:t>；本年支出2,434.23</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元，比上年增加</w:t>
      </w:r>
      <w:r>
        <w:rPr>
          <w:rFonts w:hint="eastAsia" w:ascii="Times New Roman" w:hAnsi="Times New Roman" w:eastAsia="仿宋_GB2312"/>
          <w:kern w:val="2"/>
          <w:sz w:val="32"/>
          <w:szCs w:val="32"/>
        </w:rPr>
        <w:t>291.35</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rPr>
        <w:t>13.60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val="zh-CN"/>
        </w:rPr>
        <w:t>案件增加，维持正常办案的需要</w:t>
      </w:r>
      <w:r>
        <w:rPr>
          <w:rFonts w:ascii="Times New Roman" w:hAnsi="Times New Roman" w:eastAsia="仿宋_GB2312" w:cs="Times New Roman"/>
          <w:kern w:val="2"/>
          <w:sz w:val="32"/>
          <w:szCs w:val="32"/>
          <w:lang w:val="zh-CN"/>
        </w:rPr>
        <w:t>。</w:t>
      </w:r>
    </w:p>
    <w:p>
      <w:pPr>
        <w:autoSpaceDE w:val="0"/>
        <w:autoSpaceDN w:val="0"/>
        <w:adjustRightInd w:val="0"/>
        <w:spacing w:line="580" w:lineRule="exact"/>
        <w:jc w:val="left"/>
        <w:rPr>
          <w:rFonts w:ascii="Times New Roman" w:hAnsi="Times New Roman" w:eastAsia="仿宋_GB2312" w:cs="Times New Roman"/>
          <w:kern w:val="2"/>
          <w:sz w:val="32"/>
          <w:szCs w:val="32"/>
          <w:lang w:val="zh-CN"/>
        </w:rPr>
      </w:pPr>
    </w:p>
    <w:p>
      <w:pPr>
        <w:autoSpaceDE w:val="0"/>
        <w:autoSpaceDN w:val="0"/>
        <w:adjustRightInd w:val="0"/>
        <w:spacing w:line="580" w:lineRule="exact"/>
        <w:jc w:val="left"/>
        <w:rPr>
          <w:rFonts w:ascii="Times New Roman" w:hAnsi="Times New Roman" w:eastAsia="仿宋_GB2312" w:cs="Times New Roman"/>
          <w:kern w:val="2"/>
          <w:sz w:val="32"/>
          <w:szCs w:val="32"/>
          <w:lang w:val="zh-CN"/>
        </w:rPr>
      </w:pPr>
      <w:r>
        <w:rPr>
          <w:rFonts w:hint="eastAsia" w:ascii="Times New Roman" w:hAnsi="Times New Roman" w:eastAsia="仿宋_GB2312"/>
          <w:kern w:val="2"/>
          <w:sz w:val="32"/>
          <w:szCs w:val="32"/>
        </w:rPr>
        <w:drawing>
          <wp:anchor distT="0" distB="0" distL="114300" distR="114300" simplePos="0" relativeHeight="251669504" behindDoc="0" locked="0" layoutInCell="1" allowOverlap="1">
            <wp:simplePos x="0" y="0"/>
            <wp:positionH relativeFrom="column">
              <wp:posOffset>-14605</wp:posOffset>
            </wp:positionH>
            <wp:positionV relativeFrom="paragraph">
              <wp:posOffset>233045</wp:posOffset>
            </wp:positionV>
            <wp:extent cx="5230495" cy="3047365"/>
            <wp:effectExtent l="4445" t="4445" r="7620" b="11430"/>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仿宋_GB2312" w:hAnsi="仿宋_GB2312" w:eastAsia="仿宋_GB2312" w:cs="仿宋_GB2312"/>
          <w:sz w:val="33"/>
          <w:szCs w:val="33"/>
        </w:rPr>
        <w:t>本年度及上年度均无政府性基金预算财政拨款收入</w:t>
      </w:r>
      <w:r>
        <w:rPr>
          <w:rFonts w:ascii="Times New Roman" w:hAnsi="Times New Roman" w:eastAsia="仿宋_GB2312" w:cs="Times New Roman"/>
          <w:kern w:val="2"/>
          <w:sz w:val="32"/>
          <w:szCs w:val="32"/>
          <w:lang w:val="zh-CN"/>
        </w:rPr>
        <w:t>；本年支出 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仿宋_GB2312" w:hAnsi="仿宋_GB2312" w:eastAsia="仿宋_GB2312" w:cs="仿宋_GB2312"/>
          <w:sz w:val="33"/>
          <w:szCs w:val="33"/>
        </w:rPr>
        <w:t>本年度及上年度均无政府性基金预算财政拨款收入</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仿宋_GB2312" w:hAnsi="仿宋_GB2312" w:eastAsia="仿宋_GB2312" w:cs="仿宋_GB2312"/>
          <w:sz w:val="33"/>
          <w:szCs w:val="33"/>
        </w:rPr>
        <w:t>本年度及上年度均无国有资本经营预算财政拨款收入</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仿宋_GB2312" w:hAnsi="仿宋_GB2312" w:eastAsia="仿宋_GB2312" w:cs="仿宋_GB2312"/>
          <w:sz w:val="33"/>
          <w:szCs w:val="33"/>
        </w:rPr>
        <w:t>本年度及上年度均无国有资本经营预算财政拨款收入</w:t>
      </w:r>
      <w:r>
        <w:rPr>
          <w:rFonts w:ascii="Times New Roman" w:hAnsi="Times New Roman" w:eastAsia="仿宋_GB2312" w:cs="Times New Roman"/>
          <w:kern w:val="2"/>
          <w:sz w:val="32"/>
          <w:szCs w:val="32"/>
          <w:lang w:val="zh-CN"/>
        </w:rPr>
        <w:t>。</w:t>
      </w: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年度财政拨款本年收入2,434.23万元，完成年初预算的100%，比年初预算增加</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万元，决算数等于预算数；本年支出2,434.23万元，完成年初预算的100%，比年初预算增加</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万元，决算数等于预算数。具体情况如下：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收入2,434.23万元，完成年初预算的 100%，比年初预算增加</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万元；本年支出2,434.23万元，完成年初预算的100%，比年初预算增加</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政府性基金预算财政拨款本年收入0万元，完成年初预算的0%，比年初预算持平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万元，主要原因是</w:t>
      </w:r>
      <w:r>
        <w:rPr>
          <w:rFonts w:hint="eastAsia" w:ascii="仿宋_GB2312" w:hAnsi="仿宋_GB2312" w:eastAsia="仿宋_GB2312" w:cs="仿宋_GB2312"/>
          <w:sz w:val="33"/>
          <w:szCs w:val="33"/>
        </w:rPr>
        <w:t>本年度及上年度均无政府性基金预算财政拨款收入</w:t>
      </w:r>
      <w:r>
        <w:rPr>
          <w:rFonts w:ascii="Times New Roman" w:hAnsi="Times New Roman" w:eastAsia="仿宋_GB2312" w:cs="Times New Roman"/>
          <w:kern w:val="2"/>
          <w:sz w:val="32"/>
          <w:szCs w:val="32"/>
          <w:lang w:val="zh-CN"/>
        </w:rPr>
        <w:t>；本年支出0万元，完成年初预算的0%，比年初预算持平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万元，主要原因是</w:t>
      </w:r>
      <w:r>
        <w:rPr>
          <w:rFonts w:hint="eastAsia" w:ascii="仿宋_GB2312" w:hAnsi="仿宋_GB2312" w:eastAsia="仿宋_GB2312" w:cs="仿宋_GB2312"/>
          <w:sz w:val="33"/>
          <w:szCs w:val="33"/>
        </w:rPr>
        <w:t>本年度及上年度均无政府性基金预算财政拨款收入</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color w:val="000000"/>
          <w:sz w:val="33"/>
          <w:szCs w:val="33"/>
          <w:shd w:val="clear" w:color="auto" w:fill="FFFFFF"/>
        </w:rPr>
      </w:pPr>
      <w:r>
        <w:rPr>
          <w:rFonts w:ascii="Times New Roman" w:hAnsi="Times New Roman" w:eastAsia="仿宋_GB2312" w:cs="Times New Roman"/>
          <w:kern w:val="2"/>
          <w:sz w:val="32"/>
          <w:szCs w:val="32"/>
          <w:lang w:val="zh-CN"/>
        </w:rPr>
        <w:t>3. 国有资本经营预算财政拨款本年收入0万元，完成年初预算的 0%，比年初预算持平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万元，主要原因是</w:t>
      </w:r>
      <w:r>
        <w:rPr>
          <w:rFonts w:hint="eastAsia" w:ascii="仿宋_GB2312" w:hAnsi="仿宋_GB2312" w:eastAsia="仿宋_GB2312" w:cs="仿宋_GB2312"/>
          <w:sz w:val="33"/>
          <w:szCs w:val="33"/>
        </w:rPr>
        <w:t>本年度及上年度均无国有资本经营预算财政拨款收入</w:t>
      </w:r>
      <w:r>
        <w:rPr>
          <w:rFonts w:ascii="Times New Roman" w:hAnsi="Times New Roman" w:eastAsia="仿宋_GB2312" w:cs="Times New Roman"/>
          <w:kern w:val="2"/>
          <w:sz w:val="32"/>
          <w:szCs w:val="32"/>
          <w:lang w:val="zh-CN"/>
        </w:rPr>
        <w:t>；本年支出0万元，完成年初预算的0%，比年初预算持平</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万元，主要原因是</w:t>
      </w:r>
      <w:r>
        <w:rPr>
          <w:rFonts w:hint="eastAsia" w:ascii="仿宋_GB2312" w:hAnsi="仿宋_GB2312" w:eastAsia="仿宋_GB2312" w:cs="仿宋_GB2312"/>
          <w:sz w:val="33"/>
          <w:szCs w:val="33"/>
        </w:rPr>
        <w:t>本年度及上年度均无国有资本经营预算财政拨款收入</w:t>
      </w:r>
      <w:r>
        <w:rPr>
          <w:rFonts w:ascii="Times New Roman" w:hAnsi="Times New Roman" w:eastAsia="仿宋_GB2312" w:cs="Times New Roman"/>
          <w:kern w:val="2"/>
          <w:sz w:val="32"/>
          <w:szCs w:val="32"/>
          <w:lang w:val="zh-CN"/>
        </w:rPr>
        <w:t>。</w:t>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adjustRightInd w:val="0"/>
        <w:snapToGrid w:val="0"/>
        <w:spacing w:line="580" w:lineRule="exact"/>
        <w:ind w:firstLine="660" w:firstLineChars="200"/>
        <w:jc w:val="left"/>
        <w:rPr>
          <w:rFonts w:ascii="Times New Roman" w:hAnsi="Times New Roman"/>
          <w:kern w:val="2"/>
          <w:sz w:val="32"/>
          <w:szCs w:val="32"/>
          <w:lang w:val="zh-CN"/>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年度财政拨款支出2,434.23万元，主要用于以下方面：</w:t>
      </w:r>
      <w:r>
        <w:rPr>
          <w:rFonts w:ascii="Times New Roman" w:hAnsi="Times New Roman" w:eastAsia="仿宋_GB2312"/>
          <w:kern w:val="2"/>
          <w:sz w:val="32"/>
          <w:szCs w:val="32"/>
          <w:lang w:val="zh-CN"/>
        </w:rPr>
        <w:t>公共安全类（类）支出2,074.56万元，占85.22%</w:t>
      </w:r>
      <w:r>
        <w:rPr>
          <w:rFonts w:hint="eastAsia" w:ascii="Times New Roman" w:hAnsi="Times New Roman" w:eastAsia="仿宋_GB2312"/>
          <w:kern w:val="2"/>
          <w:sz w:val="32"/>
          <w:szCs w:val="32"/>
          <w:lang w:val="zh-CN"/>
        </w:rPr>
        <w:t>，主要是</w:t>
      </w:r>
      <w:r>
        <w:rPr>
          <w:rFonts w:hint="eastAsia" w:ascii="Times New Roman" w:hAnsi="Times New Roman"/>
          <w:kern w:val="2"/>
          <w:sz w:val="32"/>
          <w:szCs w:val="32"/>
          <w:lang w:val="zh-CN"/>
        </w:rPr>
        <w:t>保障案件审判及法院干警工资</w:t>
      </w:r>
      <w:r>
        <w:rPr>
          <w:rFonts w:ascii="Times New Roman" w:hAnsi="Times New Roman" w:eastAsia="仿宋_GB2312"/>
          <w:kern w:val="2"/>
          <w:sz w:val="32"/>
          <w:szCs w:val="32"/>
          <w:lang w:val="zh-CN"/>
        </w:rPr>
        <w:t>；社会保障和就业 （类）支出214.05万元，占8.79%</w:t>
      </w:r>
      <w:r>
        <w:rPr>
          <w:rFonts w:hint="eastAsia" w:ascii="Times New Roman" w:hAnsi="Times New Roman" w:eastAsia="仿宋_GB2312"/>
          <w:kern w:val="2"/>
          <w:sz w:val="32"/>
          <w:szCs w:val="32"/>
          <w:lang w:val="zh-CN"/>
        </w:rPr>
        <w:t>，主要是</w:t>
      </w:r>
      <w:r>
        <w:rPr>
          <w:rFonts w:hint="eastAsia" w:ascii="Times New Roman" w:hAnsi="Times New Roman"/>
          <w:kern w:val="2"/>
          <w:sz w:val="32"/>
          <w:szCs w:val="32"/>
          <w:lang w:val="zh-CN"/>
        </w:rPr>
        <w:t>工伤保险和养老保险</w:t>
      </w:r>
      <w:r>
        <w:rPr>
          <w:rFonts w:ascii="Times New Roman" w:hAnsi="Times New Roman" w:eastAsia="仿宋_GB2312"/>
          <w:kern w:val="2"/>
          <w:sz w:val="32"/>
          <w:szCs w:val="32"/>
          <w:lang w:val="zh-CN"/>
        </w:rPr>
        <w:t>；卫生健康（类）支出37.16万元，占1.53%</w:t>
      </w:r>
      <w:r>
        <w:rPr>
          <w:rFonts w:hint="eastAsia" w:ascii="Times New Roman" w:hAnsi="Times New Roman" w:eastAsia="仿宋_GB2312"/>
          <w:kern w:val="2"/>
          <w:sz w:val="32"/>
          <w:szCs w:val="32"/>
          <w:lang w:val="zh-CN"/>
        </w:rPr>
        <w:t>，主要是</w:t>
      </w:r>
      <w:r>
        <w:rPr>
          <w:rFonts w:hint="eastAsia" w:ascii="Times New Roman" w:hAnsi="Times New Roman"/>
          <w:kern w:val="2"/>
          <w:sz w:val="32"/>
          <w:szCs w:val="32"/>
          <w:lang w:val="zh-CN"/>
        </w:rPr>
        <w:t>医疗保险</w:t>
      </w:r>
      <w:r>
        <w:rPr>
          <w:rFonts w:ascii="Times New Roman" w:hAnsi="Times New Roman" w:eastAsia="仿宋_GB2312"/>
          <w:kern w:val="2"/>
          <w:sz w:val="32"/>
          <w:szCs w:val="32"/>
          <w:lang w:val="zh-CN"/>
        </w:rPr>
        <w:t>；住房保障（类）支出108.44万元，占4.45%</w:t>
      </w:r>
      <w:r>
        <w:rPr>
          <w:rFonts w:hint="eastAsia" w:ascii="Times New Roman" w:hAnsi="Times New Roman" w:eastAsia="仿宋_GB2312"/>
          <w:kern w:val="2"/>
          <w:sz w:val="32"/>
          <w:szCs w:val="32"/>
          <w:lang w:val="zh-CN"/>
        </w:rPr>
        <w:t>，主要是</w:t>
      </w:r>
      <w:r>
        <w:rPr>
          <w:rFonts w:hint="eastAsia" w:ascii="Times New Roman" w:hAnsi="Times New Roman"/>
          <w:kern w:val="2"/>
          <w:sz w:val="32"/>
          <w:szCs w:val="32"/>
          <w:lang w:val="zh-CN"/>
        </w:rPr>
        <w:t>住房公积金</w:t>
      </w:r>
    </w:p>
    <w:p>
      <w:pPr>
        <w:pStyle w:val="10"/>
        <w:widowControl/>
        <w:numPr>
          <w:ilvl w:val="0"/>
          <w:numId w:val="3"/>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年度财政拨款基本支出1,457.05万元，其中：</w:t>
      </w:r>
    </w:p>
    <w:p>
      <w:pPr>
        <w:pStyle w:val="10"/>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1,314.05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ascii="Times New Roman" w:hAnsi="Times New Roman" w:eastAsia="仿宋_GB2312"/>
          <w:color w:val="333333"/>
          <w:sz w:val="33"/>
          <w:szCs w:val="33"/>
          <w:shd w:val="clear" w:color="auto" w:fill="FFFFFF"/>
        </w:rPr>
        <w:t>个人和家庭</w:t>
      </w:r>
      <w:r>
        <w:rPr>
          <w:rFonts w:ascii="Times New Roman" w:hAnsi="Times New Roman" w:eastAsia="仿宋_GB2312"/>
          <w:kern w:val="2"/>
          <w:sz w:val="32"/>
          <w:szCs w:val="32"/>
          <w:lang w:val="zh-CN"/>
        </w:rPr>
        <w:t>的补助支出。</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公用经费143万元，主要包括办公费、印刷费、咨询费、手续费、水费、电费、邮电费、取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年度“三公”经费财政拨款支出预算为64.55万元，支出决算为 58.46万元，完成预算的 90.57%，较预算减少</w:t>
      </w:r>
      <w:r>
        <w:rPr>
          <w:rFonts w:hint="eastAsia" w:ascii="Times New Roman" w:hAnsi="Times New Roman" w:eastAsia="仿宋_GB2312"/>
          <w:kern w:val="2"/>
          <w:sz w:val="32"/>
          <w:szCs w:val="32"/>
        </w:rPr>
        <w:t>6.09</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rPr>
        <w:t>9.43</w:t>
      </w:r>
      <w:r>
        <w:rPr>
          <w:rFonts w:ascii="Times New Roman" w:hAnsi="Times New Roman" w:eastAsia="仿宋_GB2312"/>
          <w:kern w:val="2"/>
          <w:sz w:val="32"/>
          <w:szCs w:val="32"/>
          <w:lang w:val="zh-CN"/>
        </w:rPr>
        <w:t>%，主要是</w:t>
      </w:r>
      <w:r>
        <w:rPr>
          <w:rFonts w:hint="eastAsia" w:ascii="Times New Roman" w:hAnsi="Times New Roman"/>
          <w:kern w:val="2"/>
          <w:sz w:val="32"/>
          <w:szCs w:val="32"/>
          <w:lang w:val="zh-CN"/>
        </w:rPr>
        <w:t>2023</w:t>
      </w:r>
      <w:r>
        <w:rPr>
          <w:rFonts w:hint="eastAsia" w:ascii="Times New Roman" w:hAnsi="Times New Roman" w:eastAsia="仿宋_GB2312"/>
          <w:kern w:val="2"/>
          <w:sz w:val="32"/>
          <w:szCs w:val="32"/>
          <w:lang w:val="zh-CN"/>
        </w:rPr>
        <w:t>年年底市财政将指标收回，未来得及拨付</w:t>
      </w:r>
      <w:r>
        <w:rPr>
          <w:rFonts w:ascii="Times New Roman" w:hAnsi="Times New Roman" w:eastAsia="仿宋_GB2312"/>
          <w:kern w:val="2"/>
          <w:sz w:val="32"/>
          <w:szCs w:val="32"/>
          <w:lang w:val="zh-CN"/>
        </w:rPr>
        <w:t>；较2022年度决算增加</w:t>
      </w:r>
      <w:r>
        <w:rPr>
          <w:rFonts w:hint="eastAsia" w:ascii="Times New Roman" w:hAnsi="Times New Roman" w:eastAsia="仿宋_GB2312"/>
          <w:kern w:val="2"/>
          <w:sz w:val="32"/>
          <w:szCs w:val="32"/>
          <w:lang w:val="zh-CN"/>
        </w:rPr>
        <w:t>37.96</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lang w:val="zh-CN"/>
        </w:rPr>
        <w:t>185.17</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2023年我单位购置两辆执法执勤用车</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楷体_GB2312"/>
          <w:b/>
          <w:bCs/>
          <w:kern w:val="2"/>
          <w:sz w:val="32"/>
          <w:szCs w:val="32"/>
        </w:rPr>
        <w:t>1.因公出国（境）费支出情况。</w:t>
      </w:r>
      <w:r>
        <w:rPr>
          <w:rFonts w:hint="eastAsia" w:ascii="Times New Roman" w:hAnsi="Times New Roman" w:eastAsia="仿宋_GB2312" w:cs="Times New Roman"/>
          <w:kern w:val="2"/>
          <w:sz w:val="32"/>
          <w:szCs w:val="32"/>
          <w:lang w:val="zh-CN"/>
        </w:rPr>
        <w:t>本部门202</w:t>
      </w:r>
      <w:r>
        <w:rPr>
          <w:rFonts w:hint="eastAsia" w:ascii="Times New Roman" w:hAnsi="Times New Roman" w:eastAsia="仿宋_GB2312" w:cs="Times New Roman"/>
          <w:kern w:val="2"/>
          <w:sz w:val="32"/>
          <w:szCs w:val="32"/>
        </w:rPr>
        <w:t>3</w:t>
      </w:r>
      <w:r>
        <w:rPr>
          <w:rFonts w:hint="eastAsia" w:ascii="Times New Roman" w:hAnsi="Times New Roman" w:eastAsia="仿宋_GB2312" w:cs="Times New Roman"/>
          <w:kern w:val="2"/>
          <w:sz w:val="32"/>
          <w:szCs w:val="32"/>
          <w:lang w:val="zh-CN"/>
        </w:rPr>
        <w:t>年度因公出国（境）费支出预算为0万元，支出决算0万元，完成预算的100%。其中因公出国（境）团组0个、共0人、参加其他单位组织的因公出国（境）团组0个、共0人/无本单位组织的出国（境）团组。因公出国（境）费支出较预算数增加0万元，增长0%，主要是未发生因公出国（境）费用；较</w:t>
      </w:r>
      <w:r>
        <w:rPr>
          <w:rFonts w:hint="eastAsia" w:ascii="Times New Roman" w:hAnsi="Times New Roman" w:eastAsia="仿宋_GB2312" w:cs="Times New Roman"/>
          <w:kern w:val="2"/>
          <w:sz w:val="32"/>
          <w:szCs w:val="32"/>
        </w:rPr>
        <w:t>上年</w:t>
      </w:r>
      <w:r>
        <w:rPr>
          <w:rFonts w:hint="eastAsia" w:ascii="Times New Roman" w:hAnsi="Times New Roman" w:eastAsia="仿宋_GB2312" w:cs="Times New Roman"/>
          <w:kern w:val="2"/>
          <w:sz w:val="32"/>
          <w:szCs w:val="32"/>
          <w:lang w:val="zh-CN"/>
        </w:rPr>
        <w:t>增加0万元，增长0%，主要是未发生因公出国（境）费用。与202</w:t>
      </w:r>
      <w:r>
        <w:rPr>
          <w:rFonts w:hint="eastAsia" w:ascii="Times New Roman" w:hAnsi="Times New Roman" w:eastAsia="仿宋_GB2312" w:cs="Times New Roman"/>
          <w:kern w:val="2"/>
          <w:sz w:val="32"/>
          <w:szCs w:val="32"/>
        </w:rPr>
        <w:t>2</w:t>
      </w:r>
      <w:r>
        <w:rPr>
          <w:rFonts w:hint="eastAsia" w:ascii="Times New Roman" w:hAnsi="Times New Roman" w:eastAsia="仿宋_GB2312" w:cs="Times New Roman"/>
          <w:kern w:val="2"/>
          <w:sz w:val="32"/>
          <w:szCs w:val="32"/>
          <w:lang w:val="zh-CN"/>
        </w:rPr>
        <w:t>年度决算支出持平。</w:t>
      </w: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年度公务用车购置及运行维护费预算为64万元，支出决算 58.46万元，完成预算的91.35%</w:t>
      </w:r>
      <w:r>
        <w:rPr>
          <w:rFonts w:hint="eastAsia" w:ascii="Times New Roman" w:hAnsi="Times New Roman" w:cs="Times New Roman"/>
          <w:kern w:val="2"/>
          <w:sz w:val="32"/>
          <w:szCs w:val="32"/>
          <w:lang w:val="zh-CN"/>
        </w:rPr>
        <w:t>,</w:t>
      </w:r>
      <w:r>
        <w:rPr>
          <w:rFonts w:ascii="Times New Roman" w:hAnsi="Times New Roman" w:eastAsia="仿宋_GB2312" w:cs="Times New Roman"/>
          <w:kern w:val="2"/>
          <w:sz w:val="32"/>
          <w:szCs w:val="32"/>
          <w:lang w:val="zh-CN"/>
        </w:rPr>
        <w:t>较预算减少</w:t>
      </w:r>
      <w:r>
        <w:rPr>
          <w:rFonts w:hint="eastAsia" w:ascii="Times New Roman" w:hAnsi="Times New Roman" w:eastAsia="仿宋_GB2312" w:cs="Times New Roman"/>
          <w:kern w:val="2"/>
          <w:sz w:val="32"/>
          <w:szCs w:val="32"/>
        </w:rPr>
        <w:t>5.54</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8.66</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2023年年底市财政将指标收回，未来得及拨付</w:t>
      </w:r>
      <w:r>
        <w:rPr>
          <w:rFonts w:ascii="Times New Roman" w:hAnsi="Times New Roman" w:eastAsia="仿宋_GB2312" w:cs="Times New Roman"/>
          <w:kern w:val="2"/>
          <w:sz w:val="32"/>
          <w:szCs w:val="32"/>
          <w:lang w:val="zh-CN"/>
        </w:rPr>
        <w:t>；较上年增加58.46万元，增长</w:t>
      </w:r>
      <w:r>
        <w:rPr>
          <w:rFonts w:hint="eastAsia" w:ascii="Times New Roman" w:hAnsi="Times New Roman" w:eastAsia="仿宋_GB2312" w:cs="Times New Roman"/>
          <w:kern w:val="2"/>
          <w:sz w:val="32"/>
          <w:szCs w:val="32"/>
          <w:lang w:val="zh-CN"/>
        </w:rPr>
        <w:t>100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2023年我单位购置两辆执法执勤用车</w:t>
      </w:r>
      <w:r>
        <w:rPr>
          <w:rFonts w:ascii="Times New Roman" w:hAnsi="Times New Roman" w:eastAsia="仿宋_GB2312" w:cs="Times New Roman"/>
          <w:kern w:val="2"/>
          <w:sz w:val="32"/>
          <w:szCs w:val="32"/>
          <w:lang w:val="zh-CN"/>
        </w:rPr>
        <w:t>。其中：</w:t>
      </w: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ascii="Times New Roman" w:hAnsi="Times New Roman" w:eastAsia="仿宋_GB2312" w:cs="Times New Roman"/>
          <w:b/>
          <w:sz w:val="32"/>
          <w:szCs w:val="32"/>
          <w:lang w:val="zh-CN"/>
        </w:rPr>
        <w:t>37.76</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年度公务用车购置量2辆，发生“公务用车购置”经费支出 37.76万元。公务用车购置费支出较预算减少</w:t>
      </w:r>
      <w:r>
        <w:rPr>
          <w:rFonts w:hint="eastAsia" w:ascii="Times New Roman" w:hAnsi="Times New Roman" w:eastAsia="仿宋_GB2312" w:cs="Times New Roman"/>
          <w:kern w:val="2"/>
          <w:sz w:val="32"/>
          <w:szCs w:val="32"/>
          <w:lang w:val="zh-CN"/>
        </w:rPr>
        <w:t>2.24</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5.6</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2023年年底市财政将指标收回，未来得及拨付</w:t>
      </w:r>
      <w:r>
        <w:rPr>
          <w:rFonts w:ascii="Times New Roman" w:hAnsi="Times New Roman" w:eastAsia="仿宋_GB2312" w:cs="Times New Roman"/>
          <w:kern w:val="2"/>
          <w:sz w:val="32"/>
          <w:szCs w:val="32"/>
          <w:lang w:val="zh-CN"/>
        </w:rPr>
        <w:t>；较上年增加</w:t>
      </w:r>
      <w:r>
        <w:rPr>
          <w:rFonts w:hint="eastAsia" w:ascii="Times New Roman" w:hAnsi="Times New Roman" w:eastAsia="仿宋_GB2312" w:cs="Times New Roman"/>
          <w:kern w:val="2"/>
          <w:sz w:val="32"/>
          <w:szCs w:val="32"/>
          <w:lang w:val="zh-CN"/>
        </w:rPr>
        <w:t>37.76</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zh-CN"/>
        </w:rPr>
        <w:t>100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2023年我单位购置两辆执法执勤用车</w:t>
      </w:r>
      <w:r>
        <w:rPr>
          <w:rFonts w:ascii="Times New Roman" w:hAnsi="Times New Roman" w:eastAsia="仿宋_GB2312" w:cs="Times New Roman"/>
          <w:kern w:val="2"/>
          <w:sz w:val="32"/>
          <w:szCs w:val="32"/>
          <w:lang w:val="zh-CN"/>
        </w:rPr>
        <w:t>。</w:t>
      </w:r>
    </w:p>
    <w:p>
      <w:pPr>
        <w:pStyle w:val="10"/>
        <w:widowControl/>
        <w:spacing w:beforeAutospacing="0" w:afterAutospacing="0"/>
        <w:ind w:firstLine="482" w:firstLineChars="150"/>
        <w:rPr>
          <w:rFonts w:ascii="Times New Roman" w:hAnsi="Times New Roman" w:eastAsia="仿宋_GB2312"/>
          <w:kern w:val="2"/>
          <w:sz w:val="32"/>
          <w:szCs w:val="32"/>
          <w:lang w:val="zh-CN"/>
        </w:rPr>
      </w:pPr>
      <w:r>
        <w:rPr>
          <w:rFonts w:ascii="Times New Roman" w:hAnsi="Times New Roman" w:eastAsia="仿宋_GB2312"/>
          <w:b/>
          <w:sz w:val="32"/>
          <w:szCs w:val="32"/>
        </w:rPr>
        <w:t>公务用车运行维护费支出</w:t>
      </w:r>
      <w:r>
        <w:rPr>
          <w:rFonts w:ascii="Times New Roman" w:hAnsi="Times New Roman" w:eastAsia="仿宋_GB2312"/>
          <w:b/>
          <w:sz w:val="32"/>
          <w:szCs w:val="32"/>
          <w:lang w:val="zh-CN"/>
        </w:rPr>
        <w:t>20.7</w:t>
      </w:r>
      <w:r>
        <w:rPr>
          <w:rFonts w:ascii="Times New Roman" w:hAnsi="Times New Roman" w:eastAsia="楷体_GB2312"/>
          <w:b/>
          <w:bCs/>
          <w:sz w:val="32"/>
          <w:szCs w:val="32"/>
        </w:rPr>
        <w:t>万元</w:t>
      </w:r>
      <w:r>
        <w:rPr>
          <w:rFonts w:ascii="Times New Roman" w:hAnsi="Times New Roman" w:eastAsia="仿宋_GB2312"/>
          <w:b/>
          <w:sz w:val="32"/>
          <w:szCs w:val="32"/>
        </w:rPr>
        <w:t>：</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年度单位公务用车保有量16辆，发生运行维护费支出20.7万元。公车运行维护费支出较预算减少</w:t>
      </w:r>
      <w:r>
        <w:rPr>
          <w:rFonts w:hint="eastAsia" w:ascii="Times New Roman" w:hAnsi="Times New Roman" w:eastAsia="仿宋_GB2312"/>
          <w:kern w:val="2"/>
          <w:sz w:val="32"/>
          <w:szCs w:val="32"/>
          <w:lang w:val="zh-CN"/>
        </w:rPr>
        <w:t>3.3</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zh-CN"/>
        </w:rPr>
        <w:t>13.75</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2023年年底市财政将指标收回，未来得及拨付</w:t>
      </w:r>
      <w:r>
        <w:rPr>
          <w:rFonts w:ascii="Times New Roman" w:hAnsi="Times New Roman" w:eastAsia="仿宋_GB2312"/>
          <w:kern w:val="2"/>
          <w:sz w:val="32"/>
          <w:szCs w:val="32"/>
          <w:lang w:val="zh-CN"/>
        </w:rPr>
        <w:t>；较上年增加</w:t>
      </w:r>
      <w:r>
        <w:rPr>
          <w:rFonts w:hint="eastAsia" w:ascii="Times New Roman" w:hAnsi="Times New Roman" w:eastAsia="仿宋_GB2312"/>
          <w:kern w:val="2"/>
          <w:sz w:val="32"/>
          <w:szCs w:val="32"/>
          <w:lang w:val="zh-CN"/>
        </w:rPr>
        <w:t>0.2</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lang w:val="zh-CN"/>
        </w:rPr>
        <w:t>0.98</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2023年我单位购置两辆执法执勤用车</w:t>
      </w:r>
      <w:r>
        <w:rPr>
          <w:rFonts w:ascii="Times New Roman" w:hAnsi="Times New Roman" w:eastAsia="仿宋_GB2312"/>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年度公务接待费支出预算为0.55万元，支出决算0万元，完成预算的</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%。公务接待费支出较预算减少</w:t>
      </w:r>
      <w:r>
        <w:rPr>
          <w:rFonts w:hint="eastAsia" w:ascii="Times New Roman" w:hAnsi="Times New Roman" w:eastAsia="仿宋_GB2312" w:cs="Times New Roman"/>
          <w:kern w:val="2"/>
          <w:sz w:val="32"/>
          <w:szCs w:val="32"/>
        </w:rPr>
        <w:t>0.55</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rPr>
        <w:t>100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w:t>
      </w:r>
      <w:r>
        <w:rPr>
          <w:rFonts w:hint="eastAsia" w:ascii="Times New Roman" w:hAnsi="Times New Roman" w:cs="Times New Roman"/>
          <w:kern w:val="2"/>
          <w:sz w:val="32"/>
          <w:szCs w:val="32"/>
          <w:lang w:val="zh-CN"/>
        </w:rPr>
        <w:t>无公务接待</w:t>
      </w:r>
      <w:r>
        <w:rPr>
          <w:rFonts w:ascii="Times New Roman" w:hAnsi="Times New Roman" w:eastAsia="仿宋_GB2312" w:cs="Times New Roman"/>
          <w:kern w:val="2"/>
          <w:sz w:val="32"/>
          <w:szCs w:val="32"/>
          <w:lang w:val="zh-CN"/>
        </w:rPr>
        <w:t>；较上年度增加</w:t>
      </w:r>
      <w:r>
        <w:rPr>
          <w:rFonts w:hint="eastAsia" w:ascii="Times New Roman" w:hAnsi="Times New Roman" w:cs="Times New Roman"/>
          <w:kern w:val="2"/>
          <w:sz w:val="32"/>
          <w:szCs w:val="32"/>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与202</w:t>
      </w:r>
      <w:r>
        <w:rPr>
          <w:rFonts w:hint="eastAsia" w:ascii="Times New Roman" w:hAnsi="Times New Roman" w:cs="Times New Roman"/>
          <w:kern w:val="2"/>
          <w:sz w:val="32"/>
          <w:szCs w:val="32"/>
          <w:lang w:val="zh-CN"/>
        </w:rPr>
        <w:t>2</w:t>
      </w:r>
      <w:r>
        <w:rPr>
          <w:rFonts w:hint="eastAsia" w:ascii="Times New Roman" w:hAnsi="Times New Roman" w:eastAsia="仿宋_GB2312" w:cs="Times New Roman"/>
          <w:kern w:val="2"/>
          <w:sz w:val="32"/>
          <w:szCs w:val="32"/>
          <w:lang w:val="zh-CN"/>
        </w:rPr>
        <w:t>年度决算支出持平</w:t>
      </w:r>
      <w:r>
        <w:rPr>
          <w:rFonts w:hint="eastAsia" w:ascii="Times New Roman" w:hAnsi="Times New Roman" w:cs="Times New Roman"/>
          <w:kern w:val="2"/>
          <w:sz w:val="32"/>
          <w:szCs w:val="32"/>
          <w:lang w:val="zh-CN"/>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w:t>
      </w:r>
      <w:r>
        <w:rPr>
          <w:rFonts w:hint="eastAsia" w:ascii="Times New Roman" w:hAnsi="Times New Roman" w:cs="Times New Roman"/>
          <w:kern w:val="2"/>
          <w:sz w:val="32"/>
          <w:szCs w:val="32"/>
          <w:lang w:val="zh-CN"/>
        </w:rPr>
        <w:t>无公务接待</w:t>
      </w:r>
      <w:r>
        <w:rPr>
          <w:rFonts w:ascii="Times New Roman" w:hAnsi="Times New Roman" w:eastAsia="仿宋_GB2312" w:cs="Times New Roman"/>
          <w:kern w:val="2"/>
          <w:sz w:val="32"/>
          <w:szCs w:val="32"/>
          <w:lang w:val="zh-CN"/>
        </w:rPr>
        <w:t>。本年度共发生公务接待</w:t>
      </w:r>
      <w:r>
        <w:rPr>
          <w:rFonts w:hint="eastAsia" w:ascii="Times New Roman" w:hAnsi="Times New Roman" w:cs="Times New Roman"/>
          <w:kern w:val="2"/>
          <w:sz w:val="32"/>
          <w:szCs w:val="32"/>
          <w:lang w:val="zh-CN"/>
        </w:rPr>
        <w:t>0</w:t>
      </w:r>
      <w:r>
        <w:rPr>
          <w:rFonts w:ascii="Times New Roman" w:hAnsi="Times New Roman" w:eastAsia="仿宋_GB2312" w:cs="Times New Roman"/>
          <w:kern w:val="2"/>
          <w:sz w:val="32"/>
          <w:szCs w:val="32"/>
          <w:lang w:val="zh-CN"/>
        </w:rPr>
        <w:t>批次、</w:t>
      </w:r>
      <w:r>
        <w:rPr>
          <w:rFonts w:hint="eastAsia" w:ascii="Times New Roman" w:hAnsi="Times New Roman" w:cs="Times New Roman"/>
          <w:kern w:val="2"/>
          <w:sz w:val="32"/>
          <w:szCs w:val="32"/>
          <w:lang w:val="zh-CN"/>
        </w:rPr>
        <w:t>0</w:t>
      </w:r>
      <w:r>
        <w:rPr>
          <w:rFonts w:ascii="Times New Roman" w:hAnsi="Times New Roman" w:eastAsia="仿宋_GB2312" w:cs="Times New Roman"/>
          <w:kern w:val="2"/>
          <w:sz w:val="32"/>
          <w:szCs w:val="32"/>
          <w:lang w:val="zh-CN"/>
        </w:rPr>
        <w:t>人次。</w:t>
      </w:r>
    </w:p>
    <w:p>
      <w:pPr>
        <w:pStyle w:val="10"/>
        <w:widowControl/>
        <w:spacing w:beforeAutospacing="0" w:afterAutospacing="0"/>
        <w:ind w:firstLine="660" w:firstLineChars="20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0"/>
        <w:widowControl/>
        <w:spacing w:beforeAutospacing="0" w:afterAutospacing="0"/>
        <w:rPr>
          <w:rFonts w:ascii="Times New Roman" w:hAnsi="Times New Roman" w:eastAsia="仿宋_GB2312"/>
          <w:sz w:val="32"/>
          <w:szCs w:val="32"/>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年度机关运行经费支出143万元，较2022年度增加</w:t>
      </w:r>
      <w:r>
        <w:rPr>
          <w:rFonts w:hint="eastAsia" w:ascii="Times New Roman" w:hAnsi="Times New Roman" w:eastAsia="仿宋_GB2312"/>
          <w:kern w:val="2"/>
          <w:sz w:val="32"/>
          <w:szCs w:val="32"/>
        </w:rPr>
        <w:t>24.12</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rPr>
        <w:t>20.29</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val="zh-CN"/>
        </w:rPr>
        <w:t>案件增加，维持正常办案的需要</w:t>
      </w:r>
      <w:r>
        <w:rPr>
          <w:rFonts w:ascii="Times New Roman" w:hAnsi="Times New Roman" w:eastAsia="仿宋_GB2312"/>
          <w:kern w:val="2"/>
          <w:sz w:val="32"/>
          <w:szCs w:val="32"/>
          <w:lang w:val="zh-CN"/>
        </w:rPr>
        <w:t>。</w:t>
      </w:r>
    </w:p>
    <w:p>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年度政府采购支出总额0万元，从采购类型来看，政府采购货物支出0万元、政府采购工程支出0万元、政府采购服务支出0万元。授予中小企业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0万元，占政府采购支出总额的0%，其中授予小微企业合同金额0万元，占政府采购支出总额的0%。</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年12月31日，本部门共有车辆16辆，比上年增加</w:t>
      </w:r>
      <w:r>
        <w:rPr>
          <w:rFonts w:hint="eastAsia" w:ascii="Times New Roman" w:hAnsi="Times New Roman" w:eastAsia="仿宋_GB2312"/>
          <w:kern w:val="2"/>
          <w:sz w:val="32"/>
          <w:szCs w:val="32"/>
        </w:rPr>
        <w:t>0</w:t>
      </w:r>
      <w:r>
        <w:rPr>
          <w:rFonts w:ascii="Times New Roman" w:hAnsi="Times New Roman" w:eastAsia="仿宋_GB2312"/>
          <w:kern w:val="2"/>
          <w:sz w:val="32"/>
          <w:szCs w:val="32"/>
          <w:lang w:val="zh-CN"/>
        </w:rPr>
        <w:t>辆。其中，副部（省）级及以上领导用车0辆，主要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用车0辆，机要通信用车0辆，应急保障用车0辆，执法执勤用车16辆，特种专业技术用车0辆，离退休干部用车0辆，其他用车0辆，</w:t>
      </w:r>
      <w:r>
        <w:rPr>
          <w:rFonts w:hint="eastAsia" w:ascii="Times New Roman" w:hAnsi="Times New Roman" w:eastAsia="仿宋_GB2312"/>
          <w:kern w:val="2"/>
          <w:sz w:val="32"/>
          <w:szCs w:val="32"/>
          <w:lang w:val="zh-CN"/>
        </w:rPr>
        <w:t>无</w:t>
      </w:r>
      <w:r>
        <w:rPr>
          <w:rFonts w:ascii="Times New Roman" w:hAnsi="Times New Roman" w:eastAsia="仿宋_GB2312"/>
          <w:kern w:val="2"/>
          <w:sz w:val="32"/>
          <w:szCs w:val="32"/>
          <w:lang w:val="zh-CN"/>
        </w:rPr>
        <w:t>其他用车。单位价值100万元（含）以上设备（不含车辆）0台（套）。</w:t>
      </w:r>
    </w:p>
    <w:p>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根据预算绩效管理要求，本部门组织对2023年度一般公共预算项目支出全面开展绩效自评，其中，一级项目</w:t>
      </w:r>
      <w:r>
        <w:rPr>
          <w:rFonts w:hint="eastAsia" w:ascii="Times New Roman" w:hAnsi="Times New Roman" w:eastAsia="仿宋_GB2312"/>
          <w:kern w:val="2"/>
          <w:sz w:val="32"/>
          <w:szCs w:val="32"/>
        </w:rPr>
        <w:t>15</w:t>
      </w:r>
      <w:r>
        <w:rPr>
          <w:rFonts w:ascii="Times New Roman" w:hAnsi="Times New Roman" w:eastAsia="仿宋_GB2312"/>
          <w:kern w:val="2"/>
          <w:sz w:val="32"/>
          <w:szCs w:val="32"/>
          <w:lang w:val="zh-CN"/>
        </w:rPr>
        <w:t>个，二级项目</w:t>
      </w:r>
      <w:r>
        <w:rPr>
          <w:rFonts w:hint="eastAsia" w:ascii="Times New Roman" w:hAnsi="Times New Roman" w:eastAsia="仿宋_GB2312"/>
          <w:kern w:val="2"/>
          <w:sz w:val="32"/>
          <w:szCs w:val="32"/>
        </w:rPr>
        <w:t>0</w:t>
      </w:r>
      <w:r>
        <w:rPr>
          <w:rFonts w:ascii="Times New Roman" w:hAnsi="Times New Roman" w:eastAsia="仿宋_GB2312"/>
          <w:kern w:val="2"/>
          <w:sz w:val="32"/>
          <w:szCs w:val="32"/>
          <w:lang w:val="zh-CN"/>
        </w:rPr>
        <w:t>个，共涉及资金2,434.23万元，占一般公共预算项目支出总额的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%。2023年度</w:t>
      </w:r>
      <w:r>
        <w:rPr>
          <w:rFonts w:hint="eastAsia" w:ascii="Times New Roman" w:hAnsi="Times New Roman" w:eastAsia="仿宋_GB2312"/>
          <w:kern w:val="2"/>
          <w:sz w:val="32"/>
          <w:szCs w:val="32"/>
          <w:lang w:val="zh-CN"/>
        </w:rPr>
        <w:t>没有政府性基金</w:t>
      </w:r>
      <w:r>
        <w:rPr>
          <w:rFonts w:ascii="Times New Roman" w:hAnsi="Times New Roman" w:eastAsia="仿宋_GB2312"/>
          <w:kern w:val="2"/>
          <w:sz w:val="32"/>
          <w:szCs w:val="32"/>
          <w:lang w:val="zh-CN"/>
        </w:rPr>
        <w:t>预算项目。2023年度</w:t>
      </w:r>
      <w:r>
        <w:rPr>
          <w:rFonts w:hint="eastAsia" w:ascii="Times New Roman" w:hAnsi="Times New Roman" w:eastAsia="仿宋_GB2312"/>
          <w:kern w:val="2"/>
          <w:sz w:val="32"/>
          <w:szCs w:val="32"/>
          <w:lang w:val="zh-CN"/>
        </w:rPr>
        <w:t>没有</w:t>
      </w:r>
      <w:r>
        <w:rPr>
          <w:rFonts w:ascii="Times New Roman" w:hAnsi="Times New Roman" w:eastAsia="仿宋_GB2312"/>
          <w:kern w:val="2"/>
          <w:sz w:val="32"/>
          <w:szCs w:val="32"/>
          <w:lang w:val="zh-CN"/>
        </w:rPr>
        <w:t>国有资本经营预算项目。</w:t>
      </w:r>
    </w:p>
    <w:p>
      <w:pPr>
        <w:pStyle w:val="10"/>
        <w:widowControl/>
        <w:spacing w:beforeAutospacing="0" w:afterAutospacing="0"/>
        <w:ind w:firstLine="640" w:firstLineChars="200"/>
        <w:rPr>
          <w:rFonts w:ascii="Times New Roman" w:hAnsi="Times New Roman" w:eastAsia="Arial"/>
        </w:rPr>
      </w:pP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zh-CN"/>
        </w:rPr>
        <w:t>劳务派遣人员资金</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维稳安保经费</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rPr>
        <w:t>15</w:t>
      </w:r>
      <w:r>
        <w:rPr>
          <w:rFonts w:ascii="Times New Roman" w:hAnsi="Times New Roman" w:eastAsia="仿宋_GB2312"/>
          <w:kern w:val="2"/>
          <w:sz w:val="32"/>
          <w:szCs w:val="32"/>
          <w:lang w:val="zh-CN"/>
        </w:rPr>
        <w:t>个项目开展了部门评价，涉及一般公共预算支出2,434.23万元，政府性基金预算支出</w:t>
      </w:r>
      <w:r>
        <w:rPr>
          <w:rFonts w:hint="eastAsia" w:ascii="Times New Roman" w:hAnsi="Times New Roman" w:eastAsia="仿宋_GB2312"/>
          <w:kern w:val="2"/>
          <w:sz w:val="32"/>
          <w:szCs w:val="32"/>
        </w:rPr>
        <w:t>0</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rPr>
        <w:t>0</w:t>
      </w:r>
      <w:r>
        <w:rPr>
          <w:rFonts w:ascii="Times New Roman" w:hAnsi="Times New Roman" w:eastAsia="仿宋_GB2312"/>
          <w:kern w:val="2"/>
          <w:sz w:val="32"/>
          <w:szCs w:val="32"/>
          <w:lang w:val="zh-CN"/>
        </w:rPr>
        <w:t>万元。从评价情况来看，</w:t>
      </w:r>
      <w:r>
        <w:rPr>
          <w:rFonts w:hint="eastAsia" w:ascii="Times New Roman" w:hAnsi="Times New Roman" w:eastAsia="仿宋_GB2312"/>
          <w:kern w:val="2"/>
          <w:sz w:val="32"/>
          <w:szCs w:val="32"/>
          <w:lang w:val="zh-CN"/>
        </w:rPr>
        <w:t>资金对积极推进社会平安建设，营造良好的法制环境，依法审判法律规定的由县级人民法院管辖的刑事、民事、行政等各类案件，依法办理发生法律效力的判决、其他法律文书的执行，做好审判管理等工作给予了有力的经费保障。达到了预期绩效目标，为审判业务的开展、审判执行等业务水平的提升提供了有力保障。本年度项目绩效如期实现，审判执行工作基本完成，资金使用率达到 100%。</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w:t>
      </w:r>
    </w:p>
    <w:p>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本部门在今年部门决算公开中反映</w:t>
      </w:r>
      <w:r>
        <w:rPr>
          <w:rFonts w:hint="eastAsia" w:ascii="Times New Roman" w:hAnsi="Times New Roman" w:eastAsia="仿宋_GB2312"/>
          <w:kern w:val="2"/>
          <w:sz w:val="32"/>
          <w:szCs w:val="32"/>
          <w:lang w:val="zh-CN"/>
        </w:rPr>
        <w:t>劳务派遣人员资金</w:t>
      </w:r>
      <w:r>
        <w:rPr>
          <w:rFonts w:ascii="Times New Roman" w:hAnsi="Times New Roman" w:eastAsia="仿宋_GB2312"/>
          <w:kern w:val="2"/>
          <w:sz w:val="32"/>
          <w:szCs w:val="32"/>
          <w:lang w:val="zh-CN"/>
        </w:rPr>
        <w:t>项目及</w:t>
      </w:r>
      <w:r>
        <w:rPr>
          <w:rFonts w:hint="eastAsia" w:ascii="Times New Roman" w:hAnsi="Times New Roman" w:eastAsia="仿宋_GB2312"/>
          <w:kern w:val="2"/>
          <w:sz w:val="32"/>
          <w:szCs w:val="32"/>
          <w:lang w:val="zh-CN"/>
        </w:rPr>
        <w:t>维稳安保经费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rPr>
        <w:t>15</w:t>
      </w:r>
      <w:r>
        <w:rPr>
          <w:rFonts w:ascii="Times New Roman" w:hAnsi="Times New Roman" w:eastAsia="仿宋_GB2312"/>
          <w:kern w:val="2"/>
          <w:sz w:val="32"/>
          <w:szCs w:val="32"/>
          <w:lang w:val="zh-CN"/>
        </w:rPr>
        <w:t>个项目绩效自评结果。</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1</w:t>
      </w:r>
      <w:r>
        <w:rPr>
          <w:rFonts w:hint="eastAsia" w:ascii="Times New Roman" w:hAnsi="Times New Roman" w:eastAsia="仿宋_GB2312"/>
          <w:kern w:val="2"/>
          <w:sz w:val="32"/>
          <w:szCs w:val="32"/>
          <w:lang w:val="zh-CN"/>
        </w:rPr>
        <w:t>）聘任制书记员资金</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聘任制书记员资金</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128</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128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2</w:t>
      </w:r>
      <w:r>
        <w:rPr>
          <w:rFonts w:hint="eastAsia" w:ascii="Times New Roman" w:hAnsi="Times New Roman" w:eastAsia="仿宋_GB2312"/>
          <w:kern w:val="2"/>
          <w:sz w:val="32"/>
          <w:szCs w:val="32"/>
          <w:lang w:val="zh-CN"/>
        </w:rPr>
        <w:t>）2023年第二批法院建设补助资金的通知</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2023年第二批法院建设补助资金的通知</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30.2</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30.2</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3</w:t>
      </w:r>
      <w:r>
        <w:rPr>
          <w:rFonts w:hint="eastAsia" w:ascii="Times New Roman" w:hAnsi="Times New Roman" w:eastAsia="仿宋_GB2312"/>
          <w:kern w:val="2"/>
          <w:sz w:val="32"/>
          <w:szCs w:val="32"/>
          <w:lang w:val="zh-CN"/>
        </w:rPr>
        <w:t>）运行保障及办案业务经费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运行保障及办案业务经费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149</w:t>
      </w:r>
      <w:r>
        <w:rPr>
          <w:rFonts w:ascii="Times New Roman" w:hAnsi="Times New Roman" w:eastAsia="仿宋_GB2312"/>
          <w:kern w:val="2"/>
          <w:sz w:val="32"/>
          <w:szCs w:val="32"/>
          <w:lang w:val="zh-CN"/>
        </w:rPr>
        <w:t>万元，执行数为148.99万元，完成预算的</w:t>
      </w:r>
      <w:r>
        <w:rPr>
          <w:rFonts w:hint="eastAsia" w:ascii="Times New Roman" w:hAnsi="Times New Roman" w:eastAsia="仿宋_GB2312"/>
          <w:kern w:val="2"/>
          <w:sz w:val="32"/>
          <w:szCs w:val="32"/>
        </w:rPr>
        <w:t>99.99</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4</w:t>
      </w:r>
      <w:r>
        <w:rPr>
          <w:rFonts w:hint="eastAsia" w:ascii="Times New Roman" w:hAnsi="Times New Roman" w:eastAsia="仿宋_GB2312"/>
          <w:kern w:val="2"/>
          <w:sz w:val="32"/>
          <w:szCs w:val="32"/>
          <w:lang w:val="zh-CN"/>
        </w:rPr>
        <w:t>）扫黑除恶专项经费</w:t>
      </w:r>
      <w:r>
        <w:rPr>
          <w:rFonts w:ascii="Times New Roman" w:hAnsi="Times New Roman" w:eastAsia="仿宋_GB2312"/>
          <w:kern w:val="2"/>
          <w:sz w:val="32"/>
          <w:szCs w:val="32"/>
          <w:lang w:val="zh-CN"/>
        </w:rPr>
        <w:t>项目绩效自评情况：根据年初设定的绩效目标，扫黑除恶专项经费项目绩效自评得分为</w:t>
      </w:r>
      <w:r>
        <w:rPr>
          <w:rFonts w:hint="eastAsia" w:ascii="Times New Roman" w:hAnsi="Times New Roman" w:eastAsia="仿宋_GB2312"/>
          <w:kern w:val="2"/>
          <w:sz w:val="32"/>
          <w:szCs w:val="32"/>
        </w:rPr>
        <w:t>99.5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50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50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5</w:t>
      </w:r>
      <w:r>
        <w:rPr>
          <w:rFonts w:hint="eastAsia" w:ascii="Times New Roman" w:hAnsi="Times New Roman" w:eastAsia="仿宋_GB2312"/>
          <w:kern w:val="2"/>
          <w:sz w:val="32"/>
          <w:szCs w:val="32"/>
          <w:lang w:val="zh-CN"/>
        </w:rPr>
        <w:t>）后勤运行保障经费（非税收入）</w:t>
      </w:r>
      <w:r>
        <w:rPr>
          <w:rFonts w:ascii="Times New Roman" w:hAnsi="Times New Roman" w:eastAsia="仿宋_GB2312"/>
          <w:kern w:val="2"/>
          <w:sz w:val="32"/>
          <w:szCs w:val="32"/>
          <w:lang w:val="zh-CN"/>
        </w:rPr>
        <w:t>项目绩效自评情况：根据年初设定的绩效目标，后勤运行保障经费（非税收入）项目绩效自评得分为</w:t>
      </w:r>
      <w:r>
        <w:rPr>
          <w:rFonts w:hint="eastAsia" w:ascii="Times New Roman" w:hAnsi="Times New Roman" w:eastAsia="仿宋_GB2312"/>
          <w:kern w:val="2"/>
          <w:sz w:val="32"/>
          <w:szCs w:val="32"/>
        </w:rPr>
        <w:t>99.5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11</w:t>
      </w:r>
      <w:r>
        <w:rPr>
          <w:rFonts w:ascii="Times New Roman" w:hAnsi="Times New Roman" w:eastAsia="仿宋_GB2312"/>
          <w:kern w:val="2"/>
          <w:sz w:val="32"/>
          <w:szCs w:val="32"/>
          <w:lang w:val="zh-CN"/>
        </w:rPr>
        <w:t>万元，执行数为10.99万元，完成预算的</w:t>
      </w:r>
      <w:r>
        <w:rPr>
          <w:rFonts w:hint="eastAsia" w:ascii="Times New Roman" w:hAnsi="Times New Roman" w:eastAsia="仿宋_GB2312"/>
          <w:kern w:val="2"/>
          <w:sz w:val="32"/>
          <w:szCs w:val="32"/>
        </w:rPr>
        <w:t>99.98</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6</w:t>
      </w:r>
      <w:r>
        <w:rPr>
          <w:rFonts w:hint="eastAsia" w:ascii="Times New Roman" w:hAnsi="Times New Roman" w:eastAsia="仿宋_GB2312"/>
          <w:kern w:val="2"/>
          <w:sz w:val="32"/>
          <w:szCs w:val="32"/>
          <w:lang w:val="zh-CN"/>
        </w:rPr>
        <w:t>）后勤运行保障经费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后勤运行保障经费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14</w:t>
      </w:r>
      <w:r>
        <w:rPr>
          <w:rFonts w:ascii="Times New Roman" w:hAnsi="Times New Roman" w:eastAsia="仿宋_GB2312"/>
          <w:kern w:val="2"/>
          <w:sz w:val="32"/>
          <w:szCs w:val="32"/>
          <w:lang w:val="zh-CN"/>
        </w:rPr>
        <w:t>万元，执行数为13.99万元，完成预算的</w:t>
      </w:r>
      <w:r>
        <w:rPr>
          <w:rFonts w:hint="eastAsia" w:ascii="Times New Roman" w:hAnsi="Times New Roman" w:eastAsia="仿宋_GB2312"/>
          <w:kern w:val="2"/>
          <w:sz w:val="32"/>
          <w:szCs w:val="32"/>
        </w:rPr>
        <w:t>99.97</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7</w:t>
      </w:r>
      <w:r>
        <w:rPr>
          <w:rFonts w:hint="eastAsia" w:ascii="Times New Roman" w:hAnsi="Times New Roman" w:eastAsia="仿宋_GB2312"/>
          <w:kern w:val="2"/>
          <w:sz w:val="32"/>
          <w:szCs w:val="32"/>
          <w:lang w:val="zh-CN"/>
        </w:rPr>
        <w:t>）2023年中央转移支付—扫黑除恶专项经费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2023年中央转移支付—扫黑除恶专项经费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50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50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8</w:t>
      </w:r>
      <w:r>
        <w:rPr>
          <w:rFonts w:hint="eastAsia" w:ascii="Times New Roman" w:hAnsi="Times New Roman" w:eastAsia="仿宋_GB2312"/>
          <w:kern w:val="2"/>
          <w:sz w:val="32"/>
          <w:szCs w:val="32"/>
          <w:lang w:val="zh-CN"/>
        </w:rPr>
        <w:t>）2023年省级基层公检法司转移支付的通知</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2023年省级基层公检法司转移支付的通知</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95.04</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66</w:t>
      </w:r>
      <w:r>
        <w:rPr>
          <w:rFonts w:ascii="Times New Roman" w:hAnsi="Times New Roman" w:eastAsia="仿宋_GB2312"/>
          <w:kern w:val="2"/>
          <w:sz w:val="32"/>
          <w:szCs w:val="32"/>
          <w:lang w:val="zh-CN"/>
        </w:rPr>
        <w:t>万元，执行数为33.25万元，完成预算的</w:t>
      </w:r>
      <w:r>
        <w:rPr>
          <w:rFonts w:hint="eastAsia" w:ascii="Times New Roman" w:hAnsi="Times New Roman" w:eastAsia="仿宋_GB2312"/>
          <w:kern w:val="2"/>
          <w:sz w:val="32"/>
          <w:szCs w:val="32"/>
        </w:rPr>
        <w:t>50.38</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9</w:t>
      </w:r>
      <w:r>
        <w:rPr>
          <w:rFonts w:hint="eastAsia" w:ascii="Times New Roman" w:hAnsi="Times New Roman" w:eastAsia="仿宋_GB2312"/>
          <w:kern w:val="2"/>
          <w:sz w:val="32"/>
          <w:szCs w:val="32"/>
          <w:lang w:val="zh-CN"/>
        </w:rPr>
        <w:t>）2023年法院建设补助资金的通知</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2023年法院建设补助资金的通知</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94.95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260</w:t>
      </w:r>
      <w:r>
        <w:rPr>
          <w:rFonts w:ascii="Times New Roman" w:hAnsi="Times New Roman" w:eastAsia="仿宋_GB2312"/>
          <w:kern w:val="2"/>
          <w:sz w:val="32"/>
          <w:szCs w:val="32"/>
          <w:lang w:val="zh-CN"/>
        </w:rPr>
        <w:t>万元，执行数为128.63万元，完成预算的</w:t>
      </w:r>
      <w:r>
        <w:rPr>
          <w:rFonts w:hint="eastAsia" w:ascii="Times New Roman" w:hAnsi="Times New Roman" w:eastAsia="仿宋_GB2312"/>
          <w:kern w:val="2"/>
          <w:sz w:val="32"/>
          <w:szCs w:val="32"/>
        </w:rPr>
        <w:t>49.47</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10</w:t>
      </w:r>
      <w:r>
        <w:rPr>
          <w:rFonts w:hint="eastAsia" w:ascii="Times New Roman" w:hAnsi="Times New Roman" w:eastAsia="仿宋_GB2312"/>
          <w:kern w:val="2"/>
          <w:sz w:val="32"/>
          <w:szCs w:val="32"/>
          <w:lang w:val="zh-CN"/>
        </w:rPr>
        <w:t>）聘用制书记员及劳务派遣人员经费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聘用制书记员及劳务派遣人员经费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26</w:t>
      </w:r>
      <w:r>
        <w:rPr>
          <w:rFonts w:ascii="Times New Roman" w:hAnsi="Times New Roman" w:eastAsia="仿宋_GB2312"/>
          <w:kern w:val="2"/>
          <w:sz w:val="32"/>
          <w:szCs w:val="32"/>
          <w:lang w:val="zh-CN"/>
        </w:rPr>
        <w:t>万元，执行数为25.6</w:t>
      </w:r>
      <w:r>
        <w:rPr>
          <w:rFonts w:hint="eastAsia" w:ascii="Times New Roman" w:hAnsi="Times New Roman" w:eastAsia="仿宋_GB2312"/>
          <w:kern w:val="2"/>
          <w:sz w:val="32"/>
          <w:szCs w:val="32"/>
        </w:rPr>
        <w:t>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98.5</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11</w:t>
      </w:r>
      <w:r>
        <w:rPr>
          <w:rFonts w:hint="eastAsia" w:ascii="Times New Roman" w:hAnsi="Times New Roman" w:eastAsia="仿宋_GB2312"/>
          <w:kern w:val="2"/>
          <w:sz w:val="32"/>
          <w:szCs w:val="32"/>
          <w:lang w:val="zh-CN"/>
        </w:rPr>
        <w:t>）2023年中央政法纪检监察转移支付资金（第二批）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2023年中央政法纪检监察转移支付资金（第二批）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99.45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25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23.63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94.52</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12</w:t>
      </w:r>
      <w:r>
        <w:rPr>
          <w:rFonts w:hint="eastAsia" w:ascii="Times New Roman" w:hAnsi="Times New Roman" w:eastAsia="仿宋_GB2312"/>
          <w:kern w:val="2"/>
          <w:sz w:val="32"/>
          <w:szCs w:val="32"/>
          <w:lang w:val="zh-CN"/>
        </w:rPr>
        <w:t>）2023年中央政法纪检监察转移支付的通知</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2023年中央政法纪检监察转移支付的通知</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98.95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164</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146.78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89.5</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13</w:t>
      </w:r>
      <w:r>
        <w:rPr>
          <w:rFonts w:hint="eastAsia" w:ascii="Times New Roman" w:hAnsi="Times New Roman" w:eastAsia="仿宋_GB2312"/>
          <w:kern w:val="2"/>
          <w:sz w:val="32"/>
          <w:szCs w:val="32"/>
          <w:lang w:val="zh-CN"/>
        </w:rPr>
        <w:t>）劳务派遣人员资金(非税收入）</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劳务派遣人员资金(非税收入）</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122</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116.37</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95.39</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14</w:t>
      </w:r>
      <w:r>
        <w:rPr>
          <w:rFonts w:hint="eastAsia" w:ascii="Times New Roman" w:hAnsi="Times New Roman" w:eastAsia="仿宋_GB2312"/>
          <w:kern w:val="2"/>
          <w:sz w:val="32"/>
          <w:szCs w:val="32"/>
          <w:lang w:val="zh-CN"/>
        </w:rPr>
        <w:t>）维稳安保经费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维稳安保经费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7</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6.99</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99.96</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15</w:t>
      </w:r>
      <w:r>
        <w:rPr>
          <w:rFonts w:hint="eastAsia" w:ascii="Times New Roman" w:hAnsi="Times New Roman" w:eastAsia="仿宋_GB2312"/>
          <w:kern w:val="2"/>
          <w:sz w:val="32"/>
          <w:szCs w:val="32"/>
          <w:lang w:val="zh-CN"/>
        </w:rPr>
        <w:t>）劳务派遣人员资金</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劳务派遣人员资金</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94</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94</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产出指标</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效益指标；三是满意度指标；四是预算执行率，都已完成，未发现问题。</w:t>
      </w:r>
    </w:p>
    <w:p>
      <w:pPr>
        <w:pStyle w:val="10"/>
        <w:widowControl/>
        <w:spacing w:beforeAutospacing="0" w:afterAutospacing="0"/>
        <w:ind w:firstLine="640" w:firstLineChars="200"/>
        <w:rPr>
          <w:rFonts w:ascii="Times New Roman" w:hAnsi="Times New Roman" w:eastAsia="仿宋_GB2312"/>
          <w:kern w:val="2"/>
          <w:sz w:val="32"/>
          <w:szCs w:val="32"/>
          <w:lang w:val="zh-CN"/>
        </w:rPr>
      </w:pPr>
    </w:p>
    <w:p>
      <w:pPr>
        <w:pStyle w:val="10"/>
        <w:widowControl/>
        <w:spacing w:beforeAutospacing="0" w:afterAutospacing="0"/>
        <w:ind w:firstLine="640" w:firstLineChars="200"/>
        <w:rPr>
          <w:rFonts w:ascii="Times New Roman" w:hAnsi="Times New Roman" w:eastAsia="仿宋_GB2312"/>
          <w:kern w:val="2"/>
          <w:sz w:val="32"/>
          <w:szCs w:val="32"/>
          <w:lang w:val="zh-CN"/>
        </w:rPr>
      </w:pPr>
    </w:p>
    <w:p>
      <w:pPr>
        <w:pStyle w:val="10"/>
        <w:widowControl/>
        <w:spacing w:beforeAutospacing="0" w:afterAutospacing="0"/>
        <w:ind w:firstLine="640" w:firstLineChars="200"/>
        <w:rPr>
          <w:rFonts w:ascii="Times New Roman" w:hAnsi="Times New Roman" w:eastAsia="仿宋_GB2312"/>
          <w:kern w:val="2"/>
          <w:sz w:val="32"/>
          <w:szCs w:val="32"/>
          <w:lang w:val="zh-CN"/>
        </w:rPr>
      </w:pPr>
    </w:p>
    <w:p>
      <w:pPr>
        <w:pStyle w:val="10"/>
        <w:widowControl/>
        <w:spacing w:beforeAutospacing="0" w:afterAutospacing="0"/>
        <w:ind w:firstLine="640" w:firstLineChars="200"/>
        <w:rPr>
          <w:rFonts w:ascii="Times New Roman" w:hAnsi="Times New Roman" w:eastAsia="仿宋_GB2312"/>
          <w:kern w:val="2"/>
          <w:sz w:val="32"/>
          <w:szCs w:val="32"/>
          <w:lang w:val="zh-CN"/>
        </w:rPr>
      </w:pPr>
    </w:p>
    <w:p>
      <w:pPr>
        <w:pStyle w:val="10"/>
        <w:widowControl/>
        <w:spacing w:beforeAutospacing="0" w:afterAutospacing="0"/>
        <w:ind w:firstLine="640" w:firstLineChars="200"/>
        <w:rPr>
          <w:rFonts w:ascii="Times New Roman" w:hAnsi="Times New Roman" w:eastAsia="仿宋_GB2312"/>
          <w:kern w:val="2"/>
          <w:sz w:val="32"/>
          <w:szCs w:val="32"/>
          <w:lang w:val="zh-CN"/>
        </w:rPr>
      </w:pPr>
    </w:p>
    <w:p>
      <w:pPr>
        <w:pStyle w:val="10"/>
        <w:widowControl/>
        <w:spacing w:beforeAutospacing="0" w:afterAutospacing="0"/>
        <w:ind w:firstLine="640" w:firstLineChars="200"/>
        <w:rPr>
          <w:rFonts w:ascii="Times New Roman" w:hAnsi="Times New Roman" w:eastAsia="仿宋_GB2312"/>
          <w:kern w:val="2"/>
          <w:sz w:val="32"/>
          <w:szCs w:val="32"/>
          <w:lang w:val="zh-CN"/>
        </w:rPr>
      </w:pPr>
    </w:p>
    <w:p>
      <w:pPr>
        <w:pStyle w:val="10"/>
        <w:widowControl/>
        <w:spacing w:beforeAutospacing="0" w:afterAutospacing="0"/>
        <w:ind w:firstLine="640" w:firstLineChars="200"/>
        <w:rPr>
          <w:rFonts w:ascii="Times New Roman" w:hAnsi="Times New Roman" w:eastAsia="仿宋_GB2312"/>
          <w:kern w:val="2"/>
          <w:sz w:val="32"/>
          <w:szCs w:val="32"/>
          <w:lang w:val="zh-CN"/>
        </w:rPr>
      </w:pPr>
    </w:p>
    <w:p>
      <w:pPr>
        <w:pStyle w:val="10"/>
        <w:widowControl/>
        <w:spacing w:beforeAutospacing="0" w:afterAutospacing="0"/>
        <w:ind w:firstLine="640" w:firstLineChars="200"/>
        <w:rPr>
          <w:rFonts w:ascii="Times New Roman" w:hAnsi="Times New Roman" w:eastAsia="仿宋_GB2312"/>
          <w:kern w:val="2"/>
          <w:sz w:val="32"/>
          <w:szCs w:val="32"/>
          <w:lang w:val="zh-CN"/>
        </w:rPr>
      </w:pPr>
    </w:p>
    <w:p>
      <w:pPr>
        <w:pStyle w:val="10"/>
        <w:widowControl/>
        <w:spacing w:beforeAutospacing="0" w:afterAutospacing="0"/>
        <w:ind w:firstLine="640" w:firstLineChars="200"/>
        <w:rPr>
          <w:rFonts w:ascii="Times New Roman" w:hAnsi="Times New Roman" w:eastAsia="仿宋_GB2312"/>
          <w:kern w:val="2"/>
          <w:sz w:val="32"/>
          <w:szCs w:val="32"/>
          <w:lang w:val="zh-CN"/>
        </w:rPr>
      </w:pPr>
    </w:p>
    <w:p>
      <w:pPr>
        <w:pStyle w:val="10"/>
        <w:widowControl/>
        <w:spacing w:beforeAutospacing="0" w:afterAutospacing="0"/>
        <w:ind w:firstLine="480" w:firstLineChars="200"/>
      </w:pPr>
      <w:r>
        <w:drawing>
          <wp:inline distT="0" distB="0" distL="114300" distR="114300">
            <wp:extent cx="5280660" cy="6379210"/>
            <wp:effectExtent l="0" t="0" r="762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cstate="print"/>
                    <a:stretch>
                      <a:fillRect/>
                    </a:stretch>
                  </pic:blipFill>
                  <pic:spPr>
                    <a:xfrm>
                      <a:off x="0" y="0"/>
                      <a:ext cx="5280660" cy="637921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67960" cy="5758180"/>
            <wp:effectExtent l="0" t="0" r="508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cstate="print"/>
                    <a:stretch>
                      <a:fillRect/>
                    </a:stretch>
                  </pic:blipFill>
                  <pic:spPr>
                    <a:xfrm>
                      <a:off x="0" y="0"/>
                      <a:ext cx="5267960" cy="575818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4991735" cy="7462520"/>
            <wp:effectExtent l="0" t="0" r="6985"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cstate="print"/>
                    <a:stretch>
                      <a:fillRect/>
                    </a:stretch>
                  </pic:blipFill>
                  <pic:spPr>
                    <a:xfrm>
                      <a:off x="0" y="0"/>
                      <a:ext cx="4991735" cy="746252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73040" cy="5951855"/>
            <wp:effectExtent l="0" t="0" r="0" b="698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cstate="print"/>
                    <a:stretch>
                      <a:fillRect/>
                    </a:stretch>
                  </pic:blipFill>
                  <pic:spPr>
                    <a:xfrm>
                      <a:off x="0" y="0"/>
                      <a:ext cx="5273040" cy="5951855"/>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68595" cy="6248400"/>
            <wp:effectExtent l="0" t="0" r="444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3" cstate="print"/>
                    <a:stretch>
                      <a:fillRect/>
                    </a:stretch>
                  </pic:blipFill>
                  <pic:spPr>
                    <a:xfrm>
                      <a:off x="0" y="0"/>
                      <a:ext cx="5268595" cy="624840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73675" cy="6037580"/>
            <wp:effectExtent l="0" t="0" r="14605"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cstate="print"/>
                    <a:stretch>
                      <a:fillRect/>
                    </a:stretch>
                  </pic:blipFill>
                  <pic:spPr>
                    <a:xfrm>
                      <a:off x="0" y="0"/>
                      <a:ext cx="5273675" cy="603758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67325" cy="6547485"/>
            <wp:effectExtent l="0" t="0" r="5715" b="57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cstate="print"/>
                    <a:stretch>
                      <a:fillRect/>
                    </a:stretch>
                  </pic:blipFill>
                  <pic:spPr>
                    <a:xfrm>
                      <a:off x="0" y="0"/>
                      <a:ext cx="5267325" cy="6547485"/>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73675" cy="6160135"/>
            <wp:effectExtent l="0" t="0" r="14605" b="120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6" cstate="print"/>
                    <a:stretch>
                      <a:fillRect/>
                    </a:stretch>
                  </pic:blipFill>
                  <pic:spPr>
                    <a:xfrm>
                      <a:off x="0" y="0"/>
                      <a:ext cx="5273675" cy="6160135"/>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73675" cy="5566410"/>
            <wp:effectExtent l="0" t="0" r="14605" b="1143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7" cstate="print"/>
                    <a:stretch>
                      <a:fillRect/>
                    </a:stretch>
                  </pic:blipFill>
                  <pic:spPr>
                    <a:xfrm>
                      <a:off x="0" y="0"/>
                      <a:ext cx="5273675" cy="556641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66690" cy="6692265"/>
            <wp:effectExtent l="0" t="0" r="6350" b="1333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8" cstate="print"/>
                    <a:stretch>
                      <a:fillRect/>
                    </a:stretch>
                  </pic:blipFill>
                  <pic:spPr>
                    <a:xfrm>
                      <a:off x="0" y="0"/>
                      <a:ext cx="5266690" cy="6692265"/>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62880" cy="6650990"/>
            <wp:effectExtent l="0" t="0" r="10160" b="889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9" cstate="print"/>
                    <a:stretch>
                      <a:fillRect/>
                    </a:stretch>
                  </pic:blipFill>
                  <pic:spPr>
                    <a:xfrm>
                      <a:off x="0" y="0"/>
                      <a:ext cx="5262880" cy="665099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69865" cy="6951980"/>
            <wp:effectExtent l="0" t="0" r="3175" b="1270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0" cstate="print"/>
                    <a:stretch>
                      <a:fillRect/>
                    </a:stretch>
                  </pic:blipFill>
                  <pic:spPr>
                    <a:xfrm>
                      <a:off x="0" y="0"/>
                      <a:ext cx="5269865" cy="695198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69865" cy="7179310"/>
            <wp:effectExtent l="0" t="0" r="3175" b="139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1" cstate="print"/>
                    <a:stretch>
                      <a:fillRect/>
                    </a:stretch>
                  </pic:blipFill>
                  <pic:spPr>
                    <a:xfrm>
                      <a:off x="0" y="0"/>
                      <a:ext cx="5269865" cy="717931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73675" cy="6922770"/>
            <wp:effectExtent l="0" t="0" r="14605" b="1143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2" cstate="print"/>
                    <a:stretch>
                      <a:fillRect/>
                    </a:stretch>
                  </pic:blipFill>
                  <pic:spPr>
                    <a:xfrm>
                      <a:off x="0" y="0"/>
                      <a:ext cx="5273675" cy="692277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r>
        <w:drawing>
          <wp:inline distT="0" distB="0" distL="114300" distR="114300">
            <wp:extent cx="5273040" cy="5861050"/>
            <wp:effectExtent l="0" t="0" r="0" b="635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3" cstate="print"/>
                    <a:stretch>
                      <a:fillRect/>
                    </a:stretch>
                  </pic:blipFill>
                  <pic:spPr>
                    <a:xfrm>
                      <a:off x="0" y="0"/>
                      <a:ext cx="5273040" cy="5861050"/>
                    </a:xfrm>
                    <a:prstGeom prst="rect">
                      <a:avLst/>
                    </a:prstGeom>
                    <a:noFill/>
                    <a:ln>
                      <a:noFill/>
                    </a:ln>
                  </pic:spPr>
                </pic:pic>
              </a:graphicData>
            </a:graphic>
          </wp:inline>
        </w:drawing>
      </w: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pPr>
    </w:p>
    <w:p>
      <w:pPr>
        <w:pStyle w:val="10"/>
        <w:widowControl/>
        <w:spacing w:beforeAutospacing="0" w:afterAutospacing="0"/>
        <w:ind w:firstLine="480" w:firstLineChars="200"/>
        <w:rPr>
          <w:lang w:val="zh-CN"/>
        </w:rPr>
      </w:pPr>
    </w:p>
    <w:p>
      <w:pPr>
        <w:numPr>
          <w:ilvl w:val="0"/>
          <w:numId w:val="4"/>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w:t>
      </w:r>
    </w:p>
    <w:p>
      <w:pPr>
        <w:adjustRightInd w:val="0"/>
        <w:snapToGrid w:val="0"/>
        <w:spacing w:line="580" w:lineRule="exact"/>
        <w:ind w:left="720" w:leftChars="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无。</w:t>
      </w: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本部门2023年度</w:t>
      </w:r>
      <w:r>
        <w:rPr>
          <w:rFonts w:hint="eastAsia" w:ascii="方正仿宋_GB2312" w:hAnsi="方正仿宋_GB2312" w:eastAsia="方正仿宋_GB2312" w:cs="方正仿宋_GB2312"/>
          <w:bCs/>
          <w:sz w:val="32"/>
          <w:szCs w:val="32"/>
        </w:rPr>
        <w:t>政府性基金预算财政拨款</w:t>
      </w:r>
      <w:r>
        <w:rPr>
          <w:rFonts w:hint="eastAsia" w:ascii="方正仿宋_GB2312" w:hAnsi="方正仿宋_GB2312" w:cs="方正仿宋_GB2312"/>
          <w:bCs/>
          <w:sz w:val="32"/>
          <w:szCs w:val="32"/>
        </w:rPr>
        <w:t>、</w:t>
      </w:r>
      <w:r>
        <w:rPr>
          <w:rFonts w:hint="eastAsia" w:ascii="方正仿宋_GB2312" w:hAnsi="方正仿宋_GB2312" w:eastAsia="方正仿宋_GB2312" w:cs="方正仿宋_GB2312"/>
          <w:bCs/>
          <w:sz w:val="32"/>
          <w:szCs w:val="32"/>
        </w:rPr>
        <w:t>国有资本经营预算财政拨款</w:t>
      </w:r>
      <w:r>
        <w:rPr>
          <w:rFonts w:ascii="Times New Roman" w:hAnsi="Times New Roman" w:eastAsia="仿宋_GB2312" w:cs="Times New Roman"/>
          <w:sz w:val="32"/>
          <w:szCs w:val="32"/>
        </w:rPr>
        <w:t>无收支及结转结余情况，故</w:t>
      </w:r>
      <w:r>
        <w:rPr>
          <w:rFonts w:hint="eastAsia" w:ascii="方正仿宋_GB2312" w:hAnsi="方正仿宋_GB2312" w:eastAsia="方正仿宋_GB2312" w:cs="方正仿宋_GB2312"/>
          <w:bCs/>
          <w:sz w:val="32"/>
          <w:szCs w:val="32"/>
        </w:rPr>
        <w:t>政府性基金预算财政拨款收入支出决算表</w:t>
      </w:r>
      <w:r>
        <w:rPr>
          <w:rFonts w:hint="eastAsia" w:ascii="方正仿宋_GB2312" w:hAnsi="方正仿宋_GB2312" w:cs="方正仿宋_GB2312"/>
          <w:bCs/>
          <w:sz w:val="32"/>
          <w:szCs w:val="32"/>
        </w:rPr>
        <w:t>、</w:t>
      </w:r>
      <w:r>
        <w:rPr>
          <w:rFonts w:hint="eastAsia" w:ascii="方正仿宋_GB2312" w:hAnsi="方正仿宋_GB2312" w:eastAsia="方正仿宋_GB2312" w:cs="方正仿宋_GB2312"/>
          <w:bCs/>
          <w:sz w:val="32"/>
          <w:szCs w:val="32"/>
        </w:rPr>
        <w:t>国有资本经营预算财政拨款支出决算表</w:t>
      </w:r>
      <w:r>
        <w:rPr>
          <w:rFonts w:ascii="Times New Roman" w:hAnsi="Times New Roman" w:eastAsia="仿宋_GB2312" w:cs="Times New Roman"/>
          <w:sz w:val="32"/>
          <w:szCs w:val="32"/>
        </w:rPr>
        <w:t>以空表列示。</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rPr>
      </w:pPr>
    </w:p>
    <w:p>
      <w:pPr>
        <w:widowControl/>
        <w:jc w:val="cente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t>第四部分 相关名词解释</w:t>
      </w:r>
    </w:p>
    <w:p>
      <w:pP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br w:type="page"/>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0" w:usb3="00000000" w:csb0="0000019F" w:csb1="00000000"/>
  </w:font>
  <w:font w:name="华文中宋">
    <w:panose1 w:val="02010600040101010101"/>
    <w:charset w:val="86"/>
    <w:family w:val="auto"/>
    <w:pitch w:val="default"/>
    <w:sig w:usb0="00000287" w:usb1="080F0000" w:usb2="00000000" w:usb3="00000000" w:csb0="0004009F" w:csb1="DFD70000"/>
  </w:font>
  <w:font w:name="方正魏碑简体">
    <w:altName w:val="方正魏碑_GBK"/>
    <w:panose1 w:val="00000000000000000000"/>
    <w:charset w:val="86"/>
    <w:family w:val="auto"/>
    <w:pitch w:val="default"/>
    <w:sig w:usb0="00000000" w:usb1="00000000" w:usb2="00000010" w:usb3="00000000" w:csb0="00040000" w:csb1="00000000"/>
  </w:font>
  <w:font w:name="方正魏碑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思源黑体 CN Heavy">
    <w:altName w:val="方正黑体_GBK"/>
    <w:panose1 w:val="00000000000000000000"/>
    <w:charset w:val="86"/>
    <w:family w:val="swiss"/>
    <w:pitch w:val="default"/>
    <w:sig w:usb0="00000000" w:usb1="00000000" w:usb2="00000016" w:usb3="00000000" w:csb0="00060107" w:csb1="00000000"/>
  </w:font>
  <w:font w:name="楷体_GB2312">
    <w:altName w:val="方正楷体_GBK"/>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86"/>
    <w:family w:val="auto"/>
    <w:pitch w:val="default"/>
    <w:sig w:usb0="00000000" w:usb1="00000000" w:usb2="00000000" w:usb3="00000000" w:csb0="00000000" w:csb1="00000000"/>
  </w:font>
  <w:font w:name="ArialUnicodeMS">
    <w:altName w:val="DejaVu Sans"/>
    <w:panose1 w:val="00000000000000000000"/>
    <w:charset w:val="81"/>
    <w:family w:val="auto"/>
    <w:pitch w:val="default"/>
    <w:sig w:usb0="00000000" w:usb1="00000000" w:usb2="00000010" w:usb3="00000000" w:csb0="00080001" w:csb1="00000000"/>
  </w:font>
  <w:font w:name="方正仿宋_GB2312">
    <w:altName w:val="方正仿宋_GBK"/>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383009"/>
    <w:multiLevelType w:val="singleLevel"/>
    <w:tmpl w:val="A7383009"/>
    <w:lvl w:ilvl="0" w:tentative="0">
      <w:start w:val="1"/>
      <w:numFmt w:val="decimal"/>
      <w:suff w:val="space"/>
      <w:lvlText w:val="%1."/>
      <w:lvlJc w:val="left"/>
    </w:lvl>
  </w:abstractNum>
  <w:abstractNum w:abstractNumId="1">
    <w:nsid w:val="D4EADE60"/>
    <w:multiLevelType w:val="singleLevel"/>
    <w:tmpl w:val="D4EADE60"/>
    <w:lvl w:ilvl="0" w:tentative="0">
      <w:start w:val="3"/>
      <w:numFmt w:val="chineseCounting"/>
      <w:suff w:val="nothing"/>
      <w:lvlText w:val="（%1）"/>
      <w:lvlJc w:val="left"/>
      <w:rPr>
        <w:rFonts w:hint="eastAsia"/>
      </w:rPr>
    </w:lvl>
  </w:abstractNum>
  <w:abstractNum w:abstractNumId="2">
    <w:nsid w:val="F31EB42C"/>
    <w:multiLevelType w:val="singleLevel"/>
    <w:tmpl w:val="F31EB42C"/>
    <w:lvl w:ilvl="0" w:tentative="0">
      <w:start w:val="4"/>
      <w:numFmt w:val="chineseCounting"/>
      <w:suff w:val="nothing"/>
      <w:lvlText w:val="（%1）"/>
      <w:lvlJc w:val="left"/>
      <w:rPr>
        <w:rFonts w:hint="eastAsia"/>
      </w:rPr>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zQsImhkaWQiOiJlYmU2MGE5NDA2ZGI1YzM4MjQ5YjMwMGVkZTZhMmE0NSIsInVzZXJDb3VudCI6N30="/>
  </w:docVars>
  <w:rsids>
    <w:rsidRoot w:val="0084712A"/>
    <w:rsid w:val="00086151"/>
    <w:rsid w:val="000A4644"/>
    <w:rsid w:val="001B2778"/>
    <w:rsid w:val="0022487A"/>
    <w:rsid w:val="00236F8C"/>
    <w:rsid w:val="0036216E"/>
    <w:rsid w:val="00455E12"/>
    <w:rsid w:val="00472660"/>
    <w:rsid w:val="0047583A"/>
    <w:rsid w:val="006E3A30"/>
    <w:rsid w:val="00744A5A"/>
    <w:rsid w:val="00773E94"/>
    <w:rsid w:val="00791398"/>
    <w:rsid w:val="007A6B77"/>
    <w:rsid w:val="00822154"/>
    <w:rsid w:val="0084712A"/>
    <w:rsid w:val="008D1658"/>
    <w:rsid w:val="008F29EA"/>
    <w:rsid w:val="00995CB9"/>
    <w:rsid w:val="00BE2CD5"/>
    <w:rsid w:val="00C17926"/>
    <w:rsid w:val="00C65689"/>
    <w:rsid w:val="00CC2C8E"/>
    <w:rsid w:val="00E25BFB"/>
    <w:rsid w:val="01A03C5A"/>
    <w:rsid w:val="01A5267D"/>
    <w:rsid w:val="01AF6A8D"/>
    <w:rsid w:val="01D90646"/>
    <w:rsid w:val="024808A2"/>
    <w:rsid w:val="025C3821"/>
    <w:rsid w:val="02DA3B1B"/>
    <w:rsid w:val="02E57B4D"/>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C85D4B"/>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8A7587"/>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6A27EBF"/>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62A16"/>
    <w:rsid w:val="713C4ED8"/>
    <w:rsid w:val="71407642"/>
    <w:rsid w:val="71641210"/>
    <w:rsid w:val="71D95B7C"/>
    <w:rsid w:val="71EA6A50"/>
    <w:rsid w:val="71FE31A8"/>
    <w:rsid w:val="720C30AE"/>
    <w:rsid w:val="721F6113"/>
    <w:rsid w:val="7233782C"/>
    <w:rsid w:val="728F3C50"/>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7FB375"/>
    <w:rsid w:val="7B936F45"/>
    <w:rsid w:val="7BA47419"/>
    <w:rsid w:val="7BB0416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5B7DE"/>
    <w:rsid w:val="7FF97946"/>
    <w:rsid w:val="7FFE7888"/>
    <w:rsid w:val="DBBFAACD"/>
    <w:rsid w:val="FFF7F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jpeg"/><Relationship Id="rId14" Type="http://schemas.openxmlformats.org/officeDocument/2006/relationships/image" Target="media/image5.sv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收入支出决算</a:t>
            </a:r>
          </a:p>
        </c:rich>
      </c:tx>
      <c:layout/>
      <c:overlay val="0"/>
      <c:spPr>
        <a:noFill/>
        <a:ln>
          <a:noFill/>
        </a:ln>
        <a:effectLst/>
      </c:spPr>
    </c:title>
    <c:autoTitleDeleted val="0"/>
    <c:plotArea>
      <c:layout>
        <c:manualLayout>
          <c:layoutTarget val="inner"/>
          <c:xMode val="edge"/>
          <c:yMode val="edge"/>
          <c:x val="0.0797134879203598"/>
          <c:y val="0.158783079808293"/>
          <c:w val="0.896855651329368"/>
          <c:h val="0.64605126067931"/>
        </c:manualLayout>
      </c:layout>
      <c:barChart>
        <c:barDir val="col"/>
        <c:grouping val="clustered"/>
        <c:varyColors val="0"/>
        <c:ser>
          <c:idx val="0"/>
          <c:order val="0"/>
          <c:tx>
            <c:strRef>
              <c:f>Sheet1!$B$1</c:f>
              <c:strCache>
                <c:ptCount val="1"/>
                <c:pt idx="0">
                  <c:v>金额（万元）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2022年度</c:v>
                </c:pt>
                <c:pt idx="1">
                  <c:v>2023年度</c:v>
                </c:pt>
              </c:strCache>
            </c:strRef>
          </c:cat>
          <c:val>
            <c:numRef>
              <c:f>Sheet1!$B$2:$B$3</c:f>
              <c:numCache>
                <c:formatCode>General</c:formatCode>
                <c:ptCount val="2"/>
                <c:pt idx="0">
                  <c:v>2142.88</c:v>
                </c:pt>
                <c:pt idx="1">
                  <c:v>2434.23</c:v>
                </c:pt>
              </c:numCache>
            </c:numRef>
          </c:val>
        </c:ser>
        <c:dLbls>
          <c:showLegendKey val="0"/>
          <c:showVal val="1"/>
          <c:showCatName val="0"/>
          <c:showSerName val="0"/>
          <c:showPercent val="0"/>
          <c:showBubbleSize val="0"/>
        </c:dLbls>
        <c:gapWidth val="246"/>
        <c:overlap val="-28"/>
        <c:axId val="180090368"/>
        <c:axId val="180122752"/>
      </c:barChart>
      <c:catAx>
        <c:axId val="18009036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0122752"/>
        <c:crosses val="autoZero"/>
        <c:auto val="1"/>
        <c:lblAlgn val="ctr"/>
        <c:lblOffset val="100"/>
        <c:noMultiLvlLbl val="0"/>
      </c:catAx>
      <c:valAx>
        <c:axId val="18012275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009036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支出决算情况说明</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项目支出</c:v>
                </c:pt>
                <c:pt idx="1">
                  <c:v>基本支出</c:v>
                </c:pt>
              </c:strCache>
            </c:strRef>
          </c:cat>
          <c:val>
            <c:numRef>
              <c:f>Sheet1!$B$2:$B$3</c:f>
              <c:numCache>
                <c:formatCode>General</c:formatCode>
                <c:ptCount val="2"/>
                <c:pt idx="0">
                  <c:v>977.180000000001</c:v>
                </c:pt>
                <c:pt idx="1" c:formatCode="#,##0.00">
                  <c:v>1457.05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a:t>
            </a:r>
          </a:p>
        </c:rich>
      </c:tx>
      <c:layout/>
      <c:overlay val="0"/>
      <c:spPr>
        <a:noFill/>
        <a:ln>
          <a:noFill/>
        </a:ln>
        <a:effectLst/>
      </c:spPr>
    </c:title>
    <c:autoTitleDeleted val="0"/>
    <c:plotArea>
      <c:layout>
        <c:manualLayout>
          <c:layoutTarget val="inner"/>
          <c:xMode val="edge"/>
          <c:yMode val="edge"/>
          <c:x val="0.0797134879203598"/>
          <c:y val="0.158783079808293"/>
          <c:w val="0.896855651329368"/>
          <c:h val="0.64605126067931"/>
        </c:manualLayout>
      </c:layout>
      <c:barChart>
        <c:barDir val="col"/>
        <c:grouping val="clustered"/>
        <c:varyColors val="0"/>
        <c:ser>
          <c:idx val="0"/>
          <c:order val="0"/>
          <c:tx>
            <c:strRef>
              <c:f>Sheet1!$B$1</c:f>
              <c:strCache>
                <c:ptCount val="1"/>
                <c:pt idx="0">
                  <c:v>金额（万元）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2022年度</c:v>
                </c:pt>
                <c:pt idx="1">
                  <c:v>2023年度</c:v>
                </c:pt>
              </c:strCache>
            </c:strRef>
          </c:cat>
          <c:val>
            <c:numRef>
              <c:f>Sheet1!$B$2:$B$3</c:f>
              <c:numCache>
                <c:formatCode>General</c:formatCode>
                <c:ptCount val="2"/>
                <c:pt idx="0">
                  <c:v>2142.88</c:v>
                </c:pt>
                <c:pt idx="1">
                  <c:v>2434.23</c:v>
                </c:pt>
              </c:numCache>
            </c:numRef>
          </c:val>
        </c:ser>
        <c:dLbls>
          <c:showLegendKey val="0"/>
          <c:showVal val="1"/>
          <c:showCatName val="0"/>
          <c:showSerName val="0"/>
          <c:showPercent val="0"/>
          <c:showBubbleSize val="0"/>
        </c:dLbls>
        <c:gapWidth val="246"/>
        <c:overlap val="-28"/>
        <c:axId val="180491776"/>
        <c:axId val="180493312"/>
      </c:barChart>
      <c:catAx>
        <c:axId val="18049177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0493312"/>
        <c:crosses val="autoZero"/>
        <c:auto val="1"/>
        <c:lblAlgn val="ctr"/>
        <c:lblOffset val="100"/>
        <c:noMultiLvlLbl val="0"/>
      </c:catAx>
      <c:valAx>
        <c:axId val="18049331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049177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56</Pages>
  <Words>2539</Words>
  <Characters>14477</Characters>
  <Lines>120</Lines>
  <Paragraphs>33</Paragraphs>
  <TotalTime>0</TotalTime>
  <ScaleCrop>false</ScaleCrop>
  <LinksUpToDate>false</LinksUpToDate>
  <CharactersWithSpaces>16983</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2023-08-04T23:55:00Z</dcterms:created>
  <dc:creator>王明新TIAD</dc:creator>
  <cp:lastModifiedBy>admin</cp:lastModifiedBy>
  <cp:lastPrinted>2023-08-04T17:00:00Z</cp:lastPrinted>
  <dcterms:modified xsi:type="dcterms:W3CDTF">2024-09-19T14:44:46Z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