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Arial" w:hAnsi="Arial" w:eastAsia="黑体"/>
          <w:b/>
          <w:bCs/>
          <w:sz w:val="32"/>
          <w:szCs w:val="32"/>
        </w:rPr>
        <w:t>附件一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海拉尔麦多利啤酒原料有限公司</w:t>
      </w:r>
      <w:r>
        <w:rPr>
          <w:rFonts w:hint="eastAsia" w:ascii="仿宋" w:hAnsi="仿宋" w:eastAsia="仿宋"/>
          <w:sz w:val="32"/>
          <w:szCs w:val="32"/>
        </w:rPr>
        <w:t>破产</w:t>
      </w:r>
      <w:r>
        <w:rPr>
          <w:rFonts w:hint="eastAsia" w:ascii="仿宋" w:hAnsi="仿宋" w:eastAsia="仿宋"/>
          <w:sz w:val="32"/>
          <w:szCs w:val="32"/>
          <w:lang w:eastAsia="zh-CN"/>
        </w:rPr>
        <w:t>清算</w:t>
      </w:r>
      <w:r>
        <w:rPr>
          <w:rFonts w:hint="eastAsia" w:ascii="仿宋" w:hAnsi="仿宋" w:eastAsia="仿宋"/>
          <w:sz w:val="32"/>
          <w:szCs w:val="32"/>
        </w:rPr>
        <w:t>案及公司基本情况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bidi="en-US"/>
        </w:rPr>
        <w:t>债权人</w:t>
      </w:r>
      <w:r>
        <w:rPr>
          <w:rFonts w:hint="eastAsia" w:ascii="仿宋" w:hAnsi="仿宋" w:eastAsia="仿宋"/>
          <w:bCs/>
          <w:sz w:val="32"/>
          <w:szCs w:val="32"/>
          <w:lang w:val="en-US" w:eastAsia="zh-CN" w:bidi="en-US"/>
        </w:rPr>
        <w:t>烟台市第二安装工程有限责任公司</w:t>
      </w:r>
      <w:r>
        <w:rPr>
          <w:rFonts w:hint="eastAsia" w:ascii="仿宋" w:hAnsi="仿宋" w:eastAsia="仿宋"/>
          <w:bCs/>
          <w:sz w:val="32"/>
          <w:szCs w:val="32"/>
          <w:lang w:bidi="en-US"/>
        </w:rPr>
        <w:t>（以下简称</w:t>
      </w:r>
      <w:r>
        <w:rPr>
          <w:rFonts w:hint="eastAsia" w:ascii="仿宋" w:hAnsi="仿宋" w:eastAsia="仿宋"/>
          <w:bCs/>
          <w:sz w:val="32"/>
          <w:szCs w:val="32"/>
          <w:lang w:eastAsia="zh-CN" w:bidi="en-US"/>
        </w:rPr>
        <w:t>鹏元</w:t>
      </w:r>
      <w:r>
        <w:rPr>
          <w:rFonts w:hint="eastAsia" w:ascii="仿宋" w:hAnsi="仿宋" w:eastAsia="仿宋"/>
          <w:bCs/>
          <w:sz w:val="32"/>
          <w:szCs w:val="32"/>
          <w:lang w:val="en-US" w:eastAsia="zh-CN" w:bidi="en-US"/>
        </w:rPr>
        <w:t>第二安装工程</w:t>
      </w:r>
      <w:r>
        <w:rPr>
          <w:rFonts w:hint="eastAsia" w:ascii="仿宋" w:hAnsi="仿宋" w:eastAsia="仿宋"/>
          <w:bCs/>
          <w:sz w:val="32"/>
          <w:szCs w:val="32"/>
          <w:lang w:eastAsia="zh-CN" w:bidi="en-US"/>
        </w:rPr>
        <w:t>公司</w:t>
      </w:r>
      <w:r>
        <w:rPr>
          <w:rFonts w:hint="eastAsia" w:ascii="仿宋" w:hAnsi="仿宋" w:eastAsia="仿宋"/>
          <w:bCs/>
          <w:sz w:val="32"/>
          <w:szCs w:val="32"/>
          <w:lang w:bidi="en-US"/>
        </w:rPr>
        <w:t>）</w:t>
      </w:r>
      <w:r>
        <w:rPr>
          <w:rFonts w:hint="eastAsia" w:ascii="仿宋" w:hAnsi="仿宋" w:eastAsia="仿宋"/>
          <w:sz w:val="32"/>
          <w:szCs w:val="32"/>
        </w:rPr>
        <w:t>向本院申请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海拉尔麦多利啤酒原料有限公司</w:t>
      </w:r>
      <w:r>
        <w:rPr>
          <w:rFonts w:hint="eastAsia" w:ascii="仿宋" w:hAnsi="仿宋" w:eastAsia="仿宋"/>
          <w:sz w:val="32"/>
          <w:szCs w:val="32"/>
        </w:rPr>
        <w:t>（以下简称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麦多利</w:t>
      </w:r>
      <w:r>
        <w:rPr>
          <w:rFonts w:hint="eastAsia" w:ascii="仿宋" w:hAnsi="仿宋" w:eastAsia="仿宋"/>
          <w:sz w:val="32"/>
          <w:szCs w:val="32"/>
        </w:rPr>
        <w:t>公司）</w:t>
      </w:r>
      <w:r>
        <w:rPr>
          <w:rFonts w:hint="eastAsia" w:ascii="仿宋" w:hAnsi="仿宋" w:eastAsia="仿宋"/>
          <w:sz w:val="32"/>
          <w:szCs w:val="32"/>
          <w:lang w:eastAsia="zh-CN"/>
        </w:rPr>
        <w:t>破产清算</w:t>
      </w:r>
      <w:r>
        <w:rPr>
          <w:rFonts w:hint="eastAsia" w:ascii="仿宋" w:hAnsi="仿宋" w:eastAsia="仿宋"/>
          <w:sz w:val="32"/>
          <w:szCs w:val="32"/>
        </w:rPr>
        <w:t>。在申请审查程序中，</w:t>
      </w:r>
      <w:r>
        <w:rPr>
          <w:rFonts w:hint="eastAsia" w:ascii="仿宋" w:hAnsi="仿宋" w:eastAsia="仿宋"/>
          <w:bCs/>
          <w:sz w:val="32"/>
          <w:szCs w:val="32"/>
          <w:lang w:val="en-US" w:eastAsia="zh-CN" w:bidi="en-US"/>
        </w:rPr>
        <w:t>第二安装工程</w:t>
      </w:r>
      <w:r>
        <w:rPr>
          <w:rFonts w:hint="eastAsia" w:ascii="仿宋" w:hAnsi="仿宋" w:eastAsia="仿宋"/>
          <w:bCs/>
          <w:sz w:val="32"/>
          <w:szCs w:val="32"/>
          <w:lang w:eastAsia="zh-CN" w:bidi="en-US"/>
        </w:rPr>
        <w:t>公司</w:t>
      </w:r>
      <w:r>
        <w:rPr>
          <w:rFonts w:hint="eastAsia" w:ascii="仿宋" w:hAnsi="仿宋" w:eastAsia="仿宋"/>
          <w:sz w:val="32"/>
          <w:szCs w:val="32"/>
        </w:rPr>
        <w:t>向本院申请对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麦多利</w:t>
      </w:r>
      <w:r>
        <w:rPr>
          <w:rFonts w:hint="eastAsia" w:ascii="仿宋" w:hAnsi="仿宋" w:eastAsia="仿宋"/>
          <w:sz w:val="32"/>
          <w:szCs w:val="32"/>
        </w:rPr>
        <w:t>公司启动</w:t>
      </w:r>
      <w:r>
        <w:rPr>
          <w:rFonts w:hint="eastAsia" w:ascii="仿宋" w:hAnsi="仿宋" w:eastAsia="仿宋"/>
          <w:sz w:val="32"/>
          <w:szCs w:val="32"/>
          <w:lang w:eastAsia="zh-CN"/>
        </w:rPr>
        <w:t>破产清算</w:t>
      </w:r>
      <w:r>
        <w:rPr>
          <w:rFonts w:hint="eastAsia" w:ascii="仿宋" w:hAnsi="仿宋" w:eastAsia="仿宋"/>
          <w:sz w:val="32"/>
          <w:szCs w:val="32"/>
        </w:rPr>
        <w:t>。本</w:t>
      </w:r>
      <w:r>
        <w:rPr>
          <w:rFonts w:hint="eastAsia" w:ascii="仿宋" w:hAnsi="仿宋" w:eastAsia="仿宋"/>
          <w:bCs/>
          <w:sz w:val="32"/>
          <w:szCs w:val="32"/>
          <w:lang w:val="en-US" w:eastAsia="zh-CN" w:bidi="en-US"/>
        </w:rPr>
        <w:t>院经审查于2024年10月14日作出（2024）内0702破申1号裁定书，决定</w:t>
      </w:r>
      <w:r>
        <w:rPr>
          <w:rFonts w:hint="eastAsia" w:ascii="仿宋" w:hAnsi="仿宋" w:eastAsia="仿宋"/>
          <w:sz w:val="32"/>
          <w:szCs w:val="32"/>
          <w:lang w:eastAsia="zh-CN"/>
        </w:rPr>
        <w:t>受理对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麦多利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hint="eastAsia" w:ascii="仿宋" w:hAnsi="仿宋" w:eastAsia="仿宋"/>
          <w:sz w:val="32"/>
          <w:szCs w:val="32"/>
          <w:lang w:eastAsia="zh-CN"/>
        </w:rPr>
        <w:t>的破产申请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bookmarkStart w:id="0" w:name="_Hlk148346216"/>
      <w:r>
        <w:rPr>
          <w:rFonts w:hint="eastAsia" w:ascii="仿宋" w:hAnsi="仿宋" w:eastAsia="仿宋"/>
          <w:sz w:val="32"/>
          <w:szCs w:val="32"/>
          <w:lang w:val="en-US" w:eastAsia="zh-CN"/>
        </w:rPr>
        <w:t>麦多利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hint="eastAsia" w:ascii="仿宋" w:hAnsi="仿宋" w:eastAsia="仿宋"/>
          <w:sz w:val="32"/>
          <w:szCs w:val="32"/>
          <w:highlight w:val="none"/>
        </w:rPr>
        <w:t>系注册在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呼伦贝尔市海拉尔区市场监督管理局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主要从事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食用农产品初加工产品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等内容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  <w:bookmarkEnd w:id="0"/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麦多利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hint="eastAsia" w:ascii="仿宋" w:hAnsi="仿宋" w:eastAsia="仿宋"/>
          <w:sz w:val="32"/>
          <w:szCs w:val="32"/>
          <w:highlight w:val="none"/>
        </w:rPr>
        <w:t>自查，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迄今已负担有附表记载的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6,150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万元债务，而被申请人公司资产只有财产目录中记载的不动产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2,462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万元，动产150万元，商品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1,850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万元，合计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4,462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pageBreakBefore/>
        <w:spacing w:line="600" w:lineRule="exact"/>
      </w:pPr>
      <w:r>
        <w:rPr>
          <w:rFonts w:hint="eastAsia"/>
        </w:rPr>
        <w:t>附件二：</w:t>
      </w:r>
    </w:p>
    <w:p>
      <w:pPr>
        <w:spacing w:line="480" w:lineRule="exact"/>
        <w:jc w:val="center"/>
        <w:rPr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zh-CN"/>
        </w:rPr>
        <w:t>邀请函回执</w:t>
      </w:r>
    </w:p>
    <w:p>
      <w:pPr>
        <w:spacing w:line="480" w:lineRule="exact"/>
        <w:jc w:val="center"/>
        <w:rPr>
          <w:sz w:val="44"/>
          <w:szCs w:val="44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海拉尔区</w:t>
      </w:r>
      <w:r>
        <w:rPr>
          <w:rFonts w:hint="eastAsia" w:ascii="仿宋" w:hAnsi="仿宋" w:eastAsia="仿宋"/>
          <w:sz w:val="32"/>
          <w:szCs w:val="32"/>
        </w:rPr>
        <w:t>人民法院：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（社会中介机构名称）已经收悉贵院刊登通知的《关于邀请社会中介机构通过网络形式竞争选任破产预</w:t>
      </w:r>
      <w:r>
        <w:rPr>
          <w:rFonts w:hint="eastAsia" w:ascii="仿宋" w:hAnsi="仿宋" w:eastAsia="仿宋"/>
          <w:sz w:val="32"/>
          <w:szCs w:val="32"/>
          <w:lang w:eastAsia="zh-CN"/>
        </w:rPr>
        <w:t>清算</w:t>
      </w:r>
      <w:r>
        <w:rPr>
          <w:rFonts w:hint="eastAsia" w:ascii="仿宋" w:hAnsi="仿宋" w:eastAsia="仿宋"/>
          <w:sz w:val="32"/>
          <w:szCs w:val="32"/>
        </w:rPr>
        <w:t>案临时管理人的公告》内容。经过查证，我单位符合《最高人民法院关于审理企业破产案件指定管理人的规定》中担任破产案件管理人的条件，且不存在可能影响忠实履行管理人职责的利害关系，亦不存在不宜担任管理人的其他情形。</w:t>
      </w:r>
    </w:p>
    <w:p>
      <w:pPr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经研究，确认报名参加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海拉尔麦多利啤酒原料有限公司</w:t>
      </w:r>
      <w:r>
        <w:rPr>
          <w:rFonts w:hint="eastAsia" w:ascii="仿宋" w:hAnsi="仿宋" w:eastAsia="仿宋"/>
          <w:sz w:val="32"/>
          <w:szCs w:val="32"/>
        </w:rPr>
        <w:t>破产</w:t>
      </w:r>
      <w:r>
        <w:rPr>
          <w:rFonts w:hint="eastAsia" w:ascii="仿宋" w:hAnsi="仿宋" w:eastAsia="仿宋"/>
          <w:sz w:val="32"/>
          <w:szCs w:val="32"/>
          <w:lang w:eastAsia="zh-CN"/>
        </w:rPr>
        <w:t>清算</w:t>
      </w:r>
      <w:r>
        <w:rPr>
          <w:rFonts w:hint="eastAsia" w:ascii="仿宋" w:hAnsi="仿宋" w:eastAsia="仿宋"/>
          <w:sz w:val="32"/>
          <w:szCs w:val="32"/>
        </w:rPr>
        <w:t>案临时管理人的竞争。</w:t>
      </w:r>
    </w:p>
    <w:p>
      <w:pPr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特此函复。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（单位名称）  </w:t>
      </w:r>
    </w:p>
    <w:p>
      <w:pPr>
        <w:spacing w:line="480" w:lineRule="exact"/>
        <w:jc w:val="righ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480" w:lineRule="exact"/>
        <w:jc w:val="right"/>
        <w:rPr>
          <w:rFonts w:ascii="仿宋" w:hAnsi="仿宋" w:eastAsia="仿宋"/>
          <w:sz w:val="32"/>
          <w:szCs w:val="32"/>
        </w:rPr>
      </w:pPr>
      <w:bookmarkStart w:id="1" w:name="_Hlk43972649"/>
      <w:r>
        <w:rPr>
          <w:rFonts w:hint="eastAsia" w:ascii="仿宋" w:hAnsi="仿宋" w:eastAsia="仿宋"/>
          <w:sz w:val="32"/>
          <w:szCs w:val="32"/>
        </w:rPr>
        <w:t>二Ｏ</w:t>
      </w:r>
      <w:bookmarkEnd w:id="1"/>
      <w:r>
        <w:rPr>
          <w:rFonts w:hint="eastAsia" w:ascii="仿宋" w:hAnsi="仿宋" w:eastAsia="仿宋"/>
          <w:sz w:val="32"/>
          <w:szCs w:val="32"/>
        </w:rPr>
        <w:t>二四 年  月  日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pageBreakBefore/>
        <w:spacing w:line="600" w:lineRule="exact"/>
      </w:pPr>
      <w:r>
        <w:rPr>
          <w:rFonts w:hint="eastAsia"/>
        </w:rPr>
        <w:t>附件三：</w:t>
      </w:r>
    </w:p>
    <w:p>
      <w:pPr>
        <w:spacing w:line="480" w:lineRule="exact"/>
        <w:jc w:val="center"/>
        <w:rPr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zh-CN"/>
        </w:rPr>
        <w:t>承诺书</w:t>
      </w:r>
    </w:p>
    <w:p>
      <w:pPr>
        <w:spacing w:line="480" w:lineRule="exact"/>
        <w:jc w:val="center"/>
        <w:rPr>
          <w:sz w:val="44"/>
          <w:szCs w:val="44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海拉尔区</w:t>
      </w:r>
      <w:r>
        <w:rPr>
          <w:rFonts w:ascii="仿宋" w:hAnsi="仿宋" w:eastAsia="仿宋"/>
          <w:sz w:val="32"/>
          <w:szCs w:val="32"/>
        </w:rPr>
        <w:t>人民法院：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（社会中介机构名称）此次针对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海拉尔麦多利啤酒原料有限公司</w:t>
      </w:r>
      <w:r>
        <w:rPr>
          <w:rFonts w:hint="eastAsia" w:ascii="仿宋" w:hAnsi="仿宋" w:eastAsia="仿宋"/>
          <w:sz w:val="32"/>
          <w:szCs w:val="32"/>
        </w:rPr>
        <w:t>破产预</w:t>
      </w:r>
      <w:bookmarkStart w:id="2" w:name="_GoBack"/>
      <w:r>
        <w:rPr>
          <w:rFonts w:hint="eastAsia" w:ascii="仿宋" w:hAnsi="仿宋" w:eastAsia="仿宋"/>
          <w:sz w:val="32"/>
          <w:szCs w:val="32"/>
          <w:lang w:eastAsia="zh-CN"/>
        </w:rPr>
        <w:t>清算</w:t>
      </w:r>
      <w:bookmarkEnd w:id="2"/>
      <w:r>
        <w:rPr>
          <w:rFonts w:ascii="仿宋" w:hAnsi="仿宋" w:eastAsia="仿宋"/>
          <w:sz w:val="32"/>
          <w:szCs w:val="32"/>
        </w:rPr>
        <w:t>案竞选</w:t>
      </w:r>
      <w:r>
        <w:rPr>
          <w:rFonts w:hint="eastAsia" w:ascii="仿宋" w:hAnsi="仿宋" w:eastAsia="仿宋"/>
          <w:sz w:val="32"/>
          <w:szCs w:val="32"/>
        </w:rPr>
        <w:t>临时</w:t>
      </w:r>
      <w:r>
        <w:rPr>
          <w:rFonts w:ascii="仿宋" w:hAnsi="仿宋" w:eastAsia="仿宋"/>
          <w:sz w:val="32"/>
          <w:szCs w:val="32"/>
        </w:rPr>
        <w:t>管理人向贵院提交的全部</w:t>
      </w:r>
      <w:r>
        <w:rPr>
          <w:rFonts w:hint="eastAsia" w:ascii="仿宋" w:hAnsi="仿宋" w:eastAsia="仿宋"/>
          <w:sz w:val="32"/>
          <w:szCs w:val="32"/>
          <w:lang w:eastAsia="zh-CN"/>
        </w:rPr>
        <w:t>纸质版</w:t>
      </w:r>
      <w:r>
        <w:rPr>
          <w:rFonts w:ascii="仿宋" w:hAnsi="仿宋" w:eastAsia="仿宋"/>
          <w:sz w:val="32"/>
          <w:szCs w:val="32"/>
        </w:rPr>
        <w:t>竞争文件，包括但不限于《陈述与承诺》的基础说明及证明材料等，均属</w:t>
      </w:r>
      <w:r>
        <w:rPr>
          <w:rFonts w:ascii="仿宋" w:hAnsi="仿宋" w:eastAsia="仿宋"/>
          <w:b/>
          <w:bCs/>
          <w:sz w:val="32"/>
          <w:szCs w:val="32"/>
        </w:rPr>
        <w:t>真实有效</w:t>
      </w:r>
      <w:r>
        <w:rPr>
          <w:rFonts w:ascii="仿宋" w:hAnsi="仿宋" w:eastAsia="仿宋"/>
          <w:sz w:val="32"/>
          <w:szCs w:val="32"/>
        </w:rPr>
        <w:t>，否则将自动丧失参选资格并自愿承担相应责任。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经过查证，我单位符合《最高人民法院关于审理企业破产案件指定管理人的规定》中担任破产案件管理人的条件，且</w:t>
      </w:r>
      <w:r>
        <w:rPr>
          <w:rFonts w:ascii="仿宋" w:hAnsi="仿宋" w:eastAsia="仿宋"/>
          <w:b/>
          <w:bCs/>
          <w:sz w:val="32"/>
          <w:szCs w:val="32"/>
        </w:rPr>
        <w:t>不存在可能影响忠实履行管理人职责的利害关系，亦不存在不宜担任管理人的其他情形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</w:t>
      </w:r>
      <w:r>
        <w:rPr>
          <w:rFonts w:hint="eastAsia" w:ascii="仿宋" w:hAnsi="仿宋" w:eastAsia="仿宋"/>
          <w:sz w:val="32"/>
          <w:szCs w:val="32"/>
        </w:rPr>
        <w:t>此</w:t>
      </w:r>
      <w:r>
        <w:rPr>
          <w:rFonts w:ascii="仿宋" w:hAnsi="仿宋" w:eastAsia="仿宋"/>
          <w:sz w:val="32"/>
          <w:szCs w:val="32"/>
        </w:rPr>
        <w:t>承诺。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（单位名称）  </w:t>
      </w:r>
    </w:p>
    <w:p>
      <w:pPr>
        <w:spacing w:line="480" w:lineRule="exact"/>
        <w:jc w:val="righ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48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二Ｏ二四 年  月  日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pStyle w:val="2"/>
        <w:spacing w:line="540" w:lineRule="exact"/>
      </w:pPr>
      <w:r>
        <w:rPr>
          <w:rFonts w:hint="eastAsia"/>
        </w:rPr>
        <w:t>附件四：</w:t>
      </w:r>
    </w:p>
    <w:p>
      <w:pPr>
        <w:widowControl/>
        <w:spacing w:line="540" w:lineRule="exact"/>
        <w:ind w:firstLine="880" w:firstLineChars="200"/>
        <w:rPr>
          <w:rFonts w:ascii="方正小标宋简体" w:hAnsi="宋体" w:eastAsia="方正小标宋简体"/>
          <w:kern w:val="0"/>
          <w:sz w:val="44"/>
          <w:szCs w:val="44"/>
          <w:lang w:val="zh-CN"/>
        </w:rPr>
      </w:pPr>
    </w:p>
    <w:p>
      <w:pPr>
        <w:widowControl/>
        <w:spacing w:line="540" w:lineRule="exact"/>
        <w:jc w:val="center"/>
        <w:rPr>
          <w:rFonts w:ascii="方正小标宋简体" w:hAnsi="宋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zh-CN"/>
        </w:rPr>
        <w:t>社会中介机构资格要求</w:t>
      </w:r>
    </w:p>
    <w:p>
      <w:pPr>
        <w:widowControl/>
        <w:spacing w:line="540" w:lineRule="exact"/>
        <w:ind w:firstLine="880" w:firstLineChars="200"/>
        <w:rPr>
          <w:rFonts w:ascii="方正小标宋简体" w:hAnsi="宋体" w:eastAsia="方正小标宋简体"/>
          <w:kern w:val="0"/>
          <w:sz w:val="44"/>
          <w:szCs w:val="44"/>
          <w:lang w:val="zh-CN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  <w:lang w:eastAsia="zh-CN"/>
        </w:rPr>
        <w:t>一</w:t>
      </w:r>
      <w:r>
        <w:rPr>
          <w:rFonts w:hint="eastAsia" w:ascii="仿宋_GB2312" w:eastAsia="仿宋_GB2312"/>
          <w:sz w:val="32"/>
        </w:rPr>
        <w:t>）近三年未因</w:t>
      </w:r>
      <w:r>
        <w:rPr>
          <w:rFonts w:hint="eastAsia" w:ascii="仿宋_GB2312" w:eastAsia="仿宋_GB2312"/>
          <w:sz w:val="32"/>
          <w:lang w:eastAsia="zh-CN"/>
        </w:rPr>
        <w:t>破产</w:t>
      </w:r>
      <w:r>
        <w:rPr>
          <w:rFonts w:hint="eastAsia" w:ascii="仿宋_GB2312" w:eastAsia="仿宋_GB2312"/>
          <w:sz w:val="32"/>
        </w:rPr>
        <w:t>执业问题受到司法、行政机关及行业组织的处罚；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  <w:lang w:eastAsia="zh-CN"/>
        </w:rPr>
        <w:t>二</w:t>
      </w:r>
      <w:r>
        <w:rPr>
          <w:rFonts w:hint="eastAsia" w:ascii="仿宋_GB2312" w:eastAsia="仿宋_GB2312"/>
          <w:sz w:val="32"/>
        </w:rPr>
        <w:t>）不存在从事管理人工作过程中，因履职失职而受到法院、债权人委员会等利益相关人的重大负面评价；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  <w:lang w:eastAsia="zh-CN"/>
        </w:rPr>
        <w:t>三</w:t>
      </w:r>
      <w:r>
        <w:rPr>
          <w:rFonts w:hint="eastAsia" w:ascii="仿宋_GB2312" w:eastAsia="仿宋_GB2312"/>
          <w:sz w:val="32"/>
        </w:rPr>
        <w:t>）不存在处于分立、重大诉讼等可能导致管理人团队成员发生重大变化的事项；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  <w:lang w:eastAsia="zh-CN"/>
        </w:rPr>
        <w:t>四</w:t>
      </w:r>
      <w:r>
        <w:rPr>
          <w:rFonts w:hint="eastAsia" w:ascii="仿宋_GB2312" w:eastAsia="仿宋_GB2312"/>
          <w:sz w:val="32"/>
        </w:rPr>
        <w:t>）不存在依照法律、司法解释规定应当回避或依法不应被指定为破产案件管理人情形；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  <w:lang w:eastAsia="zh-CN"/>
        </w:rPr>
        <w:t>五</w:t>
      </w:r>
      <w:r>
        <w:rPr>
          <w:rFonts w:hint="eastAsia" w:ascii="仿宋_GB2312" w:eastAsia="仿宋_GB2312"/>
          <w:sz w:val="32"/>
        </w:rPr>
        <w:t>）担任过大型企业破产重整案件管理人；</w:t>
      </w:r>
    </w:p>
    <w:p>
      <w:pPr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  <w:lang w:eastAsia="zh-CN"/>
        </w:rPr>
        <w:t>六</w:t>
      </w:r>
      <w:r>
        <w:rPr>
          <w:rFonts w:hint="eastAsia" w:ascii="仿宋_GB2312" w:eastAsia="仿宋_GB2312"/>
          <w:sz w:val="32"/>
        </w:rPr>
        <w:t>）具有稳定的管理人业务团队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jYxMDcwOGZiMjY3OTJmZWY2ZTQwNDVhZWNmMmUifQ=="/>
  </w:docVars>
  <w:rsids>
    <w:rsidRoot w:val="368E1E11"/>
    <w:rsid w:val="368E1E11"/>
    <w:rsid w:val="5CD67E70"/>
    <w:rsid w:val="5D7FF3B5"/>
    <w:rsid w:val="9F7FD329"/>
    <w:rsid w:val="BB9B99EA"/>
    <w:rsid w:val="BDFF2748"/>
    <w:rsid w:val="DF3FE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2024-10-19T02:43:00Z</dcterms:created>
  <dc:creator>张娜</dc:creator>
  <cp:lastModifiedBy>hleqfy</cp:lastModifiedBy>
  <dcterms:modified xsi:type="dcterms:W3CDTF">2024-10-28T15:37:08Z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C4B17DFBF39344BDA5B0BEABD3275FD3_11</vt:lpwstr>
  </property>
</Properties>
</file>