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刘基全，男，1994年10月10日出生，壮族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2014年8月4日作出（2014）防市刑一初字第14号刑事附带民事判决，以被告人刘基全犯故意伤害罪，判处有期徒刑十三年，剥夺政治权利三年，并处连带赔偿人民币二万九千八百三十三元八角五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于2014年9月1日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在执行期间，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于2016年8月24日、2019年1月29日经本院分别裁定减去有期徒刑十个月、七个月，于2021年7月15日经本院裁定不予减刑，现刑期至2025年4月27日止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2020年9月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，连带赔偿义务未履行。该犯于2022年5月30日因不认真履行岗位职责，导致产品大批量返工，被扣除劳动改造分35分；于2023年9月22日因琐事动手殴打他犯被扣除监管改造分70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。该犯结伙故意伤害他人身体健康，并造成一人死亡、一人重伤的严重后果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因犯故意伤害罪被判处十年以上有期徒刑，系主犯，考核期内两次违规，且未履行生效裁判所确定的连带赔偿义务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刘基全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BFD71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93FC7B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096F78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113D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8799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204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2024-10-30T16:56:07Z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