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23</w:t>
      </w:r>
      <w:r w:rsidR="0028565A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28565A" w:rsidRPr="0028565A" w:rsidRDefault="0028565A" w:rsidP="0028565A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8565A">
        <w:rPr>
          <w:rFonts w:ascii="仿宋_GB2312" w:eastAsia="仿宋_GB2312" w:hAnsi="仿宋" w:cs="仿宋_GB2312" w:hint="eastAsia"/>
          <w:sz w:val="32"/>
          <w:szCs w:val="32"/>
        </w:rPr>
        <w:t>罪犯陈衡青，男，1975年8月28日出生，汉族，初中文化，湖南省衡东县人，住湖南省衡东县踏庄乡踏庄村9组。现押湖南省雁南监狱服刑。</w:t>
      </w:r>
    </w:p>
    <w:p w:rsidR="0028565A" w:rsidRPr="0028565A" w:rsidRDefault="0028565A" w:rsidP="0028565A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8565A">
        <w:rPr>
          <w:rFonts w:ascii="仿宋_GB2312" w:eastAsia="仿宋_GB2312" w:hAnsi="仿宋" w:cs="仿宋_GB2312" w:hint="eastAsia"/>
          <w:sz w:val="32"/>
          <w:szCs w:val="32"/>
        </w:rPr>
        <w:t>经湖南省衡阳市中级人民法院于2017年6月16日作出（2017）湘04刑初17号刑事判决，认定被告人陈衡青犯故意伤害罪，判处有期徒刑十二年；被告人不服，提出上诉。湖南省高级人民法院于2017年9月27日作出(2017)湘刑终309号刑事裁定，驳回上诉，维持原判。刑期自2016年8月25日起至2028年8月24日止，2017年12月20日交付执行。</w:t>
      </w:r>
    </w:p>
    <w:p w:rsidR="0028565A" w:rsidRPr="0028565A" w:rsidRDefault="0028565A" w:rsidP="0028565A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8565A">
        <w:rPr>
          <w:rFonts w:ascii="仿宋_GB2312" w:eastAsia="仿宋_GB2312" w:hAnsi="仿宋" w:cs="仿宋_GB2312" w:hint="eastAsia"/>
          <w:sz w:val="32"/>
          <w:szCs w:val="32"/>
        </w:rPr>
        <w:t>服刑期间执行刑期变动情况：2020年10月26日经湖南省衡阳市中级人民法院(2020)湘04刑更1103号刑事裁定减刑八个月；2022年11月26日经湖南省衡阳市中级人民法院(2022)湘04刑更1527号刑事裁定减刑五个月。服刑期至2027年7月24日止。</w:t>
      </w:r>
    </w:p>
    <w:p w:rsidR="0028565A" w:rsidRPr="0028565A" w:rsidRDefault="0028565A" w:rsidP="0028565A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8565A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28565A" w:rsidRPr="0028565A" w:rsidRDefault="0028565A" w:rsidP="0028565A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8565A">
        <w:rPr>
          <w:rFonts w:ascii="仿宋_GB2312" w:eastAsia="仿宋_GB2312" w:hAnsi="仿宋" w:cs="仿宋_GB2312" w:hint="eastAsia"/>
          <w:sz w:val="32"/>
          <w:szCs w:val="32"/>
        </w:rPr>
        <w:t>罪犯陈衡青自2022年11月减刑以来能认罪悔罪，服从管教；认真遵守法律法规及监规，接受教育改造；积极参加思想、文化、职业技术教育；积极参加劳动，服从安排，遵守劳动纪</w:t>
      </w:r>
      <w:r w:rsidRPr="0028565A">
        <w:rPr>
          <w:rFonts w:ascii="仿宋_GB2312" w:eastAsia="仿宋_GB2312" w:hAnsi="仿宋" w:cs="仿宋_GB2312" w:hint="eastAsia"/>
          <w:sz w:val="32"/>
          <w:szCs w:val="32"/>
        </w:rPr>
        <w:lastRenderedPageBreak/>
        <w:t>律，坚守劳动岗位，努力完成劳动任务，综合改造表现较好，被评为2022年度监狱改造积极分子。截止2024年6月30日共计表扬四次余333分。该犯无财产性判项。根据该犯情形，减刑间隔已从严二个月，减刑幅度从严一个月。上述事实，有罪犯认罪悔罪书、罪犯评审鉴定表、罪犯考核奖惩统计台账、罪犯奖惩审核表、罪犯减刑评议书等材料证实。</w:t>
      </w:r>
    </w:p>
    <w:p w:rsidR="003F410D" w:rsidRPr="002D7ED3" w:rsidRDefault="0028565A" w:rsidP="0028565A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8565A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七十八条之规定，建议对罪犯陈衡青予以减刑八个月。特提请审核裁定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C1C" w:rsidRDefault="00891C1C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91C1C" w:rsidRDefault="00891C1C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C1C" w:rsidRDefault="00891C1C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91C1C" w:rsidRDefault="00891C1C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565A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921C4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1C1C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77E1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120</Words>
  <Characters>686</Characters>
  <Application>Microsoft Office Word</Application>
  <DocSecurity>0</DocSecurity>
  <Lines>5</Lines>
  <Paragraphs>1</Paragraphs>
  <ScaleCrop>false</ScaleCrop>
  <Company>Sky123.Org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7</cp:revision>
  <dcterms:created xsi:type="dcterms:W3CDTF">2012-12-31T16:34:00Z</dcterms:created>
  <dcterms:modified xsi:type="dcterms:W3CDTF">2002-01-14T23:52:00Z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