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wordWrap w:val="0"/>
        <w:spacing w:line="480" w:lineRule="exact"/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652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罪犯彭军，男，1982年10月30日生，江苏省南京市人，公民身份号码</w:t>
      </w:r>
      <w:r>
        <w:rPr>
          <w:rFonts w:ascii="仿宋" w:hAnsi="仿宋" w:eastAsia="仿宋"/>
          <w:sz w:val="30"/>
          <w:szCs w:val="30"/>
        </w:rPr>
        <w:t>320121198210300078</w:t>
      </w:r>
      <w:r>
        <w:rPr>
          <w:rFonts w:hint="eastAsia" w:ascii="仿宋" w:hAnsi="仿宋" w:eastAsia="仿宋"/>
          <w:sz w:val="30"/>
          <w:szCs w:val="30"/>
        </w:rPr>
        <w:t>，汉族，大学文化，原住江苏省南京市江宁区东山街道一鸣花园4幢305室。现服刑于江苏省无锡监狱。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shd w:val="clear" w:color="auto" w:fill="99CC00"/>
        </w:rPr>
      </w:pPr>
      <w:r>
        <w:rPr>
          <w:rFonts w:hint="eastAsia" w:ascii="仿宋" w:hAnsi="仿宋" w:eastAsia="仿宋"/>
          <w:sz w:val="30"/>
          <w:szCs w:val="30"/>
        </w:rPr>
        <w:t>江苏省南京市秦淮区人民法院于2021年11月30日作出(2021)苏0104刑初770号刑事判决，认定被告人彭军犯组织卖淫罪，判处有期徒刑十年，并处罚金人民币八万元。刑期自2021年6月17日起至2031年6月16日止。判决发生法律效力后，2022年1月20日交付江苏省无锡监狱执行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彭军，在入监后能认罪悔罪，认真遵守法律法规及监规，接受教育改造；积极参加思想、文化、职业技术教育；积极参加劳动。2023年3月、2023年9月、2024年2月、2024年7月各获监狱表扬一个，累计获得表扬四个，确有悔改表现。判决执行后罪犯彭军所处没收个人财产人民币八万元已履行，提供江苏省南京市秦淮区人民法院于2023年8月2日开具的结案通知书证明，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故予以正常减刑。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彭军减去有期徒刑八个月。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4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2024-12-03T06:19:47Z</dcterms:created>
  <dc:creator>jk2022</dc:creator>
  <cp:lastModifiedBy>倪金刚(3219414)</cp:lastModifiedBy>
  <dcterms:modified xsi:type="dcterms:W3CDTF">2024-12-03T06:20:24Z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