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江苏省</w:t>
      </w:r>
      <w:r>
        <w:rPr>
          <w:rFonts w:hint="eastAsia" w:ascii="宋体" w:hAnsi="宋体"/>
          <w:b/>
          <w:sz w:val="44"/>
          <w:szCs w:val="44"/>
          <w:lang w:eastAsia="zh-CN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 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697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罪犯饶薪辉，男，1974年8月29日出生于福建省</w:t>
      </w:r>
      <w:r>
        <w:rPr>
          <w:rFonts w:hint="eastAsia" w:ascii="仿宋" w:hAnsi="仿宋" w:eastAsia="仿宋"/>
          <w:sz w:val="30"/>
          <w:szCs w:val="30"/>
          <w:lang w:eastAsia="zh-CN"/>
        </w:rPr>
        <w:t>长汀县</w:t>
      </w:r>
      <w:r>
        <w:rPr>
          <w:rFonts w:hint="eastAsia" w:ascii="仿宋" w:hAnsi="仿宋" w:eastAsia="仿宋"/>
          <w:sz w:val="30"/>
          <w:szCs w:val="30"/>
        </w:rPr>
        <w:t>，公民身份号码352622197408290035，汉族，初中文化，原户籍地福建省厦门市思明区厦禾路866号1101室，原住福建省厦门市思明区厦禾路866号1101室。曾因犯销售假冒注册商标的商品罪，于2012年被福建省厦门市思明区人民法院判处有期徒刑九个月，缓刑一年，并处罚金人民币三万元；因吸毒，于2014年6月17日被福建省三明市公安局梅列分局行政拘留十五日；因犯制造毒品罪、非法持有毒品罪与前罪销售假冒注册商标的商品罪，于2015年6月被福建省三明市梅列区人民法院判处有期徒刑两年五个月，并处罚金人民币三万七千元，于2016年5月10日刑满释放。现服刑于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江苏省泰兴市人民法院于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9年9月20日作出</w:t>
      </w:r>
      <w:r>
        <w:rPr>
          <w:sz w:val="30"/>
          <w:szCs w:val="30"/>
        </w:rPr>
        <w:t xml:space="preserve"> </w:t>
      </w:r>
      <w:r>
        <w:rPr>
          <w:rFonts w:ascii="仿宋" w:hAnsi="仿宋" w:eastAsia="仿宋"/>
          <w:sz w:val="30"/>
          <w:szCs w:val="30"/>
        </w:rPr>
        <w:t>(201</w:t>
      </w:r>
      <w:r>
        <w:rPr>
          <w:rFonts w:hint="eastAsia" w:ascii="仿宋" w:hAnsi="仿宋" w:eastAsia="仿宋"/>
          <w:sz w:val="30"/>
          <w:szCs w:val="30"/>
        </w:rPr>
        <w:t>9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苏1283刑初406号刑事判决，认定被告人饶薪辉犯非法生产、买卖、运输</w:t>
      </w:r>
      <w:r>
        <w:rPr>
          <w:rFonts w:hint="eastAsia" w:ascii="仿宋" w:hAnsi="仿宋" w:eastAsia="仿宋"/>
          <w:sz w:val="30"/>
          <w:szCs w:val="30"/>
          <w:lang w:eastAsia="zh-CN"/>
        </w:rPr>
        <w:t>制毒物品</w:t>
      </w:r>
      <w:r>
        <w:rPr>
          <w:rFonts w:hint="eastAsia" w:ascii="仿宋" w:hAnsi="仿宋" w:eastAsia="仿宋"/>
          <w:sz w:val="30"/>
          <w:szCs w:val="30"/>
        </w:rPr>
        <w:t>罪，判处有期徒刑十一年，并处罚金人民币五十万元。该犯的同案犯不服，提出上诉。江苏省泰州市中级人民法院于2020年1月6日作出（2019）苏12刑终237号刑事裁定，驳回上诉，维持原判，刑期自2018年10月2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>日起至2029年10月2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>日止。判决发生法律效力后，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月20日交付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2020年4月调至江苏省江苏省无锡监狱执行</w:t>
      </w:r>
      <w:r>
        <w:rPr>
          <w:rFonts w:hint="eastAsia" w:ascii="仿宋" w:hAnsi="仿宋" w:eastAsia="仿宋"/>
          <w:sz w:val="30"/>
          <w:szCs w:val="30"/>
        </w:rPr>
        <w:t>。该犯在服刑期间，因有悔改表现，无锡市中级人民法院于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22年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2月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9日作出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</w:rPr>
        <w:t>22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苏02刑更1525号刑事裁定，减去有期徒刑七个月，减刑后的刑期至2029年3月20日止。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饶薪辉，在减刑后能继续认罪悔罪，认真遵守法律法规及监规，接受教育改造；积极参加思想、文化、职业技术教育；积极参加劳动2022年12月、2023年05月、2023年10月、2024年03月、2024年08月受到表扬五次，确有悔改表现。判处罚金人民币500000元已履行，判决书及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</w:rPr>
        <w:t>22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苏02刑更1525号刑事裁定已载明。罪犯饶薪辉属毒品再犯</w:t>
      </w:r>
      <w:r>
        <w:rPr>
          <w:rFonts w:hint="eastAsia" w:ascii="仿宋" w:hAnsi="仿宋" w:eastAsia="仿宋"/>
          <w:sz w:val="30"/>
          <w:szCs w:val="30"/>
          <w:lang w:eastAsia="zh-CN"/>
        </w:rPr>
        <w:t>且累犯</w:t>
      </w:r>
      <w:r>
        <w:rPr>
          <w:rFonts w:hint="eastAsia" w:ascii="仿宋" w:hAnsi="仿宋" w:eastAsia="仿宋"/>
          <w:bCs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</w:rPr>
        <w:t>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</w:t>
      </w:r>
      <w:r>
        <w:rPr>
          <w:rFonts w:hint="eastAsia" w:ascii="仿宋" w:hAnsi="仿宋" w:eastAsia="仿宋"/>
          <w:bCs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sz w:val="30"/>
          <w:szCs w:val="30"/>
        </w:rPr>
        <w:t>之规定，建议对罪犯饶薪辉减去有期徒刑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七</w:t>
      </w:r>
      <w:r>
        <w:rPr>
          <w:rFonts w:hint="eastAsia" w:ascii="仿宋" w:hAnsi="仿宋" w:eastAsia="仿宋"/>
          <w:sz w:val="30"/>
          <w:szCs w:val="30"/>
        </w:rPr>
        <w:t>个月。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bookmarkStart w:id="0" w:name="_GoBack"/>
      <w:bookmarkEnd w:id="0"/>
      <w:r>
        <w:rPr>
          <w:rFonts w:hint="eastAsia" w:ascii="仿宋" w:hAnsi="仿宋" w:eastAsia="仿宋"/>
          <w:bCs/>
          <w:sz w:val="30"/>
          <w:szCs w:val="30"/>
          <w:lang w:eastAsia="zh-CN"/>
        </w:rPr>
        <w:t>二零二四年十二月二日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1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2024-12-03T01:34:06Z</dcterms:created>
  <dc:creator>user</dc:creator>
  <cp:lastModifiedBy>张继军(3219486)</cp:lastModifiedBy>
  <dcterms:modified xsi:type="dcterms:W3CDTF">2024-12-03T01:34:33Z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