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5054"/>
        </w:tabs>
        <w:snapToGrid w:val="0"/>
        <w:spacing w:line="600" w:lineRule="exact"/>
        <w:ind w:right="-527"/>
        <w:jc w:val="center"/>
        <w:rPr>
          <w:rFonts w:hint="eastAsia" w:ascii="新宋体" w:hAnsi="新宋体" w:eastAsia="新宋体"/>
          <w:b/>
          <w:sz w:val="48"/>
          <w:szCs w:val="48"/>
        </w:rPr>
      </w:pPr>
      <w:r>
        <w:rPr>
          <w:rFonts w:hint="eastAsia" w:ascii="新宋体" w:hAnsi="新宋体" w:eastAsia="新宋体"/>
          <w:b/>
          <w:sz w:val="48"/>
          <w:szCs w:val="48"/>
        </w:rPr>
        <w:t>江苏省丁山监狱提请减刑建议书</w:t>
      </w:r>
    </w:p>
    <w:p>
      <w:pPr>
        <w:tabs>
          <w:tab w:val="left" w:pos="5054"/>
        </w:tabs>
        <w:snapToGrid w:val="0"/>
        <w:spacing w:line="460" w:lineRule="exact"/>
        <w:ind w:right="-527"/>
        <w:jc w:val="right"/>
        <w:rPr>
          <w:rFonts w:hint="eastAsia" w:ascii="新宋体" w:hAnsi="新宋体" w:eastAsia="新宋体"/>
          <w:sz w:val="30"/>
          <w:szCs w:val="30"/>
        </w:rPr>
      </w:pPr>
    </w:p>
    <w:p>
      <w:pPr>
        <w:tabs>
          <w:tab w:val="left" w:pos="5054"/>
        </w:tabs>
        <w:snapToGrid w:val="0"/>
        <w:spacing w:line="460" w:lineRule="exact"/>
        <w:ind w:right="-527"/>
        <w:jc w:val="right"/>
        <w:rPr>
          <w:rFonts w:hint="eastAsia" w:ascii="新宋体" w:hAnsi="新宋体" w:eastAsia="新宋体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（2024）苏丁狱减建字第</w:t>
      </w:r>
      <w:r>
        <w:rPr>
          <w:rFonts w:hint="eastAsia" w:ascii="新宋体" w:hAnsi="新宋体" w:eastAsia="新宋体"/>
          <w:sz w:val="30"/>
          <w:szCs w:val="30"/>
          <w:lang w:val="en-US" w:eastAsia="zh-CN"/>
        </w:rPr>
        <w:t>553</w:t>
      </w:r>
      <w:r>
        <w:rPr>
          <w:rFonts w:hint="eastAsia" w:ascii="新宋体" w:hAnsi="新宋体" w:eastAsia="新宋体"/>
          <w:sz w:val="30"/>
          <w:szCs w:val="30"/>
        </w:rPr>
        <w:t>号</w:t>
      </w:r>
    </w:p>
    <w:p>
      <w:pPr>
        <w:tabs>
          <w:tab w:val="left" w:pos="5054"/>
        </w:tabs>
        <w:snapToGrid w:val="0"/>
        <w:spacing w:line="460" w:lineRule="exact"/>
        <w:ind w:right="-527" w:firstLine="600" w:firstLineChars="200"/>
        <w:rPr>
          <w:rFonts w:ascii="新宋体" w:hAnsi="新宋体" w:eastAsia="新宋体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罪犯倪晓庆，男，1996年2月19日出生于江苏省东台市，公民身份号码320981199602195515，汉族，大专文化，原住江苏省南京市江宁区潭桥西苑1幢101室，原户籍地江苏省盐城市东台市新街镇东海村三组9号。现服刑于江苏省丁山监狱。</w:t>
      </w:r>
    </w:p>
    <w:p>
      <w:pPr>
        <w:tabs>
          <w:tab w:val="left" w:pos="5054"/>
        </w:tabs>
        <w:snapToGrid w:val="0"/>
        <w:spacing w:line="460" w:lineRule="exact"/>
        <w:ind w:right="-527" w:firstLine="600" w:firstLineChars="200"/>
        <w:rPr>
          <w:rFonts w:hint="eastAsia" w:ascii="新宋体" w:hAnsi="新宋体" w:eastAsia="新宋体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江苏省江宁经济技术开发区人民法院于2022年12月23日作出（2022）苏0191刑初263号刑事判决，认定被告人倪晓庆犯强奸罪，判处有期徒刑四年；犯抢劫罪，判处有期徒刑三年六个月，罚金人民币四万元，决定执行有期徒刑六年，罚金人民币四万元。刑期自2022年6月5日起至2028年6月4日止。判决发生法律效力后，2023年1月13日交付执行。</w:t>
      </w:r>
    </w:p>
    <w:p>
      <w:pPr>
        <w:tabs>
          <w:tab w:val="left" w:pos="5054"/>
        </w:tabs>
        <w:snapToGrid w:val="0"/>
        <w:spacing w:line="460" w:lineRule="exact"/>
        <w:ind w:right="-527" w:firstLine="600" w:firstLineChars="200"/>
        <w:rPr>
          <w:rFonts w:ascii="新宋体" w:hAnsi="新宋体" w:eastAsia="新宋体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罪犯倪晓庆，在服刑期间能认罪悔罪；认真遵守法律法规及监规，接受教育改造；积极参加思想、文化、职业技术教育；积极参加劳动，努力完成劳动任务。2023年8月、2024年2月、2024年7月受到表扬三次，确有悔改表现。判处罚金人民币四万元已履行，有江苏省行政事业单位资金往来结算票据（电子）1张（票据号码0001187660）。</w:t>
      </w:r>
    </w:p>
    <w:p>
      <w:pPr>
        <w:tabs>
          <w:tab w:val="left" w:pos="5054"/>
        </w:tabs>
        <w:snapToGrid w:val="0"/>
        <w:spacing w:line="460" w:lineRule="exact"/>
        <w:ind w:right="-527" w:firstLine="600" w:firstLineChars="200"/>
        <w:rPr>
          <w:rFonts w:hint="eastAsia" w:ascii="新宋体" w:hAnsi="新宋体" w:eastAsia="新宋体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为此，根据《中华人民共和国刑事诉讼法》第二百七十三条第二款之规定，建议对罪犯倪晓庆减去有期徒刑八个月。</w:t>
      </w:r>
    </w:p>
    <w:p>
      <w:pPr>
        <w:pStyle w:val="3"/>
        <w:tabs>
          <w:tab w:val="left" w:pos="5054"/>
        </w:tabs>
        <w:snapToGrid w:val="0"/>
        <w:spacing w:line="460" w:lineRule="exact"/>
        <w:ind w:right="-527"/>
        <w:rPr>
          <w:rFonts w:ascii="新宋体" w:hAnsi="新宋体" w:eastAsia="新宋体"/>
          <w:sz w:val="30"/>
          <w:szCs w:val="30"/>
        </w:rPr>
      </w:pPr>
      <w:r>
        <w:rPr>
          <w:rFonts w:ascii="新宋体" w:hAnsi="新宋体" w:eastAsia="新宋体"/>
          <w:sz w:val="30"/>
          <w:szCs w:val="30"/>
        </w:rPr>
        <w:t>特提请审核裁定</w:t>
      </w:r>
    </w:p>
    <w:p>
      <w:pPr>
        <w:tabs>
          <w:tab w:val="left" w:pos="5054"/>
        </w:tabs>
        <w:snapToGrid w:val="0"/>
        <w:spacing w:line="460" w:lineRule="exact"/>
        <w:ind w:right="-527" w:firstLine="600" w:firstLineChars="200"/>
        <w:jc w:val="left"/>
        <w:rPr>
          <w:rFonts w:hint="eastAsia" w:ascii="新宋体" w:hAnsi="新宋体" w:eastAsia="新宋体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此致</w:t>
      </w:r>
    </w:p>
    <w:p>
      <w:pPr>
        <w:tabs>
          <w:tab w:val="left" w:pos="5054"/>
        </w:tabs>
        <w:snapToGrid w:val="0"/>
        <w:spacing w:line="460" w:lineRule="exact"/>
        <w:ind w:right="-527"/>
        <w:rPr>
          <w:rFonts w:hint="eastAsia" w:ascii="新宋体" w:hAnsi="新宋体" w:eastAsia="新宋体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江苏省无锡市中级人民法院</w:t>
      </w:r>
    </w:p>
    <w:p>
      <w:pPr>
        <w:tabs>
          <w:tab w:val="left" w:pos="5054"/>
        </w:tabs>
        <w:snapToGrid w:val="0"/>
        <w:spacing w:line="460" w:lineRule="exact"/>
        <w:ind w:right="-77"/>
        <w:jc w:val="right"/>
        <w:rPr>
          <w:rFonts w:hint="eastAsia" w:ascii="新宋体" w:hAnsi="新宋体" w:eastAsia="新宋体"/>
          <w:bCs/>
          <w:sz w:val="30"/>
          <w:szCs w:val="30"/>
          <w:lang w:eastAsia="zh-CN"/>
        </w:rPr>
      </w:pPr>
      <w:r>
        <w:rPr>
          <w:rFonts w:hint="eastAsia" w:ascii="新宋体" w:hAnsi="新宋体" w:eastAsia="新宋体"/>
          <w:bCs/>
          <w:sz w:val="30"/>
          <w:szCs w:val="30"/>
          <w:lang w:eastAsia="zh-CN"/>
        </w:rPr>
        <w:t>2024年9月18日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2DB26E7"/>
    <w:rsid w:val="103A3FE1"/>
    <w:rsid w:val="14BF194A"/>
    <w:rsid w:val="2223377E"/>
    <w:rsid w:val="24751EA7"/>
    <w:rsid w:val="2A805642"/>
    <w:rsid w:val="31E54BB7"/>
    <w:rsid w:val="47E90EFD"/>
    <w:rsid w:val="70DD5840"/>
    <w:rsid w:val="72DB26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index 5"/>
    <w:basedOn w:val="1"/>
    <w:next w:val="1"/>
    <w:semiHidden/>
    <w:uiPriority w:val="0"/>
    <w:pPr>
      <w:ind w:left="800" w:leftChars="800"/>
    </w:pPr>
  </w:style>
  <w:style w:type="paragraph" w:styleId="3">
    <w:name w:val="Salutation"/>
    <w:basedOn w:val="1"/>
    <w:next w:val="1"/>
    <w:uiPriority w:val="0"/>
    <w:rPr>
      <w:rFonts w:hint="eastAsia" w:ascii="宋体"/>
      <w:sz w:val="32"/>
      <w:szCs w:val="20"/>
    </w:rPr>
  </w:style>
  <w:style w:type="paragraph" w:styleId="4">
    <w:name w:val="Plain Text"/>
    <w:next w:val="2"/>
    <w:uiPriority w:val="0"/>
    <w:pPr>
      <w:widowControl w:val="0"/>
      <w:jc w:val="both"/>
    </w:pPr>
    <w:rPr>
      <w:rFonts w:ascii="宋体" w:hAnsi="Times New Roman" w:eastAsia="宋体" w:cs="Courier New"/>
      <w:kern w:val="2"/>
      <w:sz w:val="21"/>
      <w:szCs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2024-09-24T02:37:00Z</dcterms:created>
  <dc:creator>Administrator</dc:creator>
  <cp:lastModifiedBy>Administrator</cp:lastModifiedBy>
  <dcterms:modified xsi:type="dcterms:W3CDTF">2024-09-24T02:39:10Z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