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 w:firstLine="964" w:firstLineChars="200"/>
        <w:jc w:val="both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677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罪犯刘晨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1988年12月29日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出生，</w:t>
      </w:r>
      <w:r>
        <w:rPr>
          <w:rFonts w:hint="eastAsia" w:ascii="新宋体" w:hAnsi="新宋体" w:eastAsia="新宋体"/>
          <w:sz w:val="30"/>
          <w:szCs w:val="30"/>
        </w:rPr>
        <w:t>公民身份号码320504198812292015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专科文化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原住苏州市姑苏区凤凰胥案花园9幢2006室。现服刑于江苏省丁山监狱。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江苏省苏州市姑苏区人民法院于2021年10月30日作出（2021）苏0508刑初627号刑事判决，认定被告人刘晨犯开设赌场罪，判处有期徒刑五年，并处罚金人民币二十五万元，冻结、扣押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涉赌资金予以没收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，上交国库</w:t>
      </w:r>
      <w:r>
        <w:rPr>
          <w:rFonts w:hint="eastAsia" w:ascii="新宋体" w:hAnsi="新宋体" w:eastAsia="新宋体"/>
          <w:sz w:val="30"/>
          <w:szCs w:val="30"/>
        </w:rPr>
        <w:t>。刑期自2020年6月15日起至2025年6月14日止。判决发生法律效力后，2022年1月18日交付执行。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刘晨，在服刑期间能认罪悔罪；认真遵守法律法规及监规，接受教育改造；积极参加思想、文化、职业技术教育；积极参加劳动，努力完成劳动任务。2022年8月、2023年2月、2023年7月、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五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次，确有悔改表现。判处罚金人民币二十五万元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冻结、扣押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涉赌资金予以没收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均</w:t>
      </w:r>
      <w:r>
        <w:rPr>
          <w:rFonts w:hint="eastAsia" w:ascii="新宋体" w:hAnsi="新宋体" w:eastAsia="新宋体"/>
          <w:sz w:val="30"/>
          <w:szCs w:val="30"/>
        </w:rPr>
        <w:t>已履行，有江苏省苏州市姑苏区人民法院出具的结案通知书1份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2022苏0508执2061号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行政事业单位资金往来结算票据</w:t>
      </w:r>
      <w:r>
        <w:rPr>
          <w:rFonts w:hint="eastAsia" w:ascii="新宋体" w:hAnsi="新宋体" w:eastAsia="新宋体"/>
          <w:sz w:val="30"/>
          <w:szCs w:val="30"/>
        </w:rPr>
        <w:t>3张（编号：0000094737、0000095305、0000095327）。罪犯刘晨属九类涉恶罪名犯罪，故对其减刑幅度适当缩减。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为此，根据《中华人民共和国刑事诉讼法》第二百七十三条第二款之规定，建议对罪犯刘晨减去有期徒刑六个月。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30344A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2024-09-24T07:07:56Z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