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4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罪犯汤猛，男，1995年6月25日生，公民身份号码</w:t>
      </w:r>
      <w:r>
        <w:rPr>
          <w:rFonts w:ascii="新宋体" w:hAnsi="新宋体" w:eastAsia="新宋体"/>
          <w:sz w:val="30"/>
          <w:szCs w:val="30"/>
        </w:rPr>
        <w:t>341226199506250416</w:t>
      </w:r>
      <w:r>
        <w:rPr>
          <w:rFonts w:hint="eastAsia" w:ascii="新宋体" w:hAnsi="新宋体" w:eastAsia="新宋体"/>
          <w:sz w:val="30"/>
          <w:szCs w:val="30"/>
        </w:rPr>
        <w:t>，汉族，初中文化，原住南京市雨花台区玉兰路99号明发商业广场1幢0263室，原户籍地安徽省阜阳市颍上县谢桥镇化中社区汤海孜24号。现服刑于江苏省丁山监狱。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雨花台区人民法院于2021年4月30日作出（2021）苏0114刑初31号刑事判决，认定被告人汤猛犯组织卖淫罪，判处有期徒刑七年，并处罚金人民币五十万元，依法追缴四被告人违法所得人民币902417元。该犯不服，提出上诉，江苏省南京市中级人民法院于2021年8月10日作出（2021）苏01刑终498号刑事裁定，驳回上诉，维持原判，刑期自2020年5月26日起至2027年5月25日止。判决发生法律效力后，2021年12月8日交付执行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汤猛，在服刑期间能认罪悔罪；认真遵守法律法规及监规，接受教育改造；积极参加思想、文化、职业技术教育；积极参加劳动，努力完成劳动任务。2022年8月、2023年1月、2023年6月、2023年12月、2024年5月受到表扬五次，确有悔改表现。判处罚金人民币五十万元、依法追缴四被告人违法所得人民币902417元共计履行人民币25226.5元（其中同案犯判前履行12112.5元，判后被执行1561元，罪犯汤猛判后被执行11553元），有江苏省南京市雨花台区人民法院出具的（2022）苏0114执336号之六执行裁定书1份。罪犯汤猛，财产性判项未全部履行，应当从严,且该犯属九类涉恶罪名犯罪，故对其减刑幅度适当缩减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为此，根据《中华人民共和国刑事诉讼法》第二百七十三条第二款之规定，建议对罪犯汤猛减去有期徒刑六个月。</w:t>
      </w:r>
    </w:p>
    <w:p>
      <w:pPr>
        <w:pStyle w:val="2"/>
        <w:tabs>
          <w:tab w:val="left" w:pos="5054"/>
        </w:tabs>
        <w:snapToGrid w:val="0"/>
        <w:spacing w:line="44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4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A8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2024-09-25T13:20:47Z</dcterms:created>
  <dc:creator>Administrator</dc:creator>
  <cp:lastModifiedBy>李松柏(lsb)</cp:lastModifiedBy>
  <dcterms:modified xsi:type="dcterms:W3CDTF">2024-09-25T13:20:56Z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