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葛军，男，1981年3月29日出生于江苏省南京市，公民身份号码320121198103294733，汉族，高中文化，原住南京市江宁区秣陵街道21世纪现代城40幢106室,原户籍地南京市江宁区汤山街道阜东村马墟头299号。2012年7月4日因为赌博提供条件被行政拘留十日，罚款人民币二千元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江宁区人民法院于2022年2月18日作出（2022）苏0115刑初36号刑事判决，认定被告人葛军犯容留卖淫罪，判处有期徒刑三年六个月，并处罚金人民币十万元，追缴被告人葛军与其他同案犯的非法获利人民币20万元。该犯的同案犯不服，提出上诉，江苏省南京市中级人民法院于2022年6月15日作出（2022）苏01刑终168号刑事裁定，驳回上诉，维持原判，刑期自2022年2月17日起至2025年7月14日止。判决发生法律效力后，2022年8月9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罪犯葛军，在服刑期间能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2023年4月、2023年9月、2024年2月受到表扬三次，确有悔改表现。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判处罚金人民币十万元，追缴非法获利人民币20万元已履行</w:t>
      </w:r>
      <w:r>
        <w:rPr>
          <w:rFonts w:hint="eastAsia" w:ascii="新宋体" w:hAnsi="新宋体" w:eastAsia="新宋体"/>
          <w:color w:val="auto"/>
          <w:sz w:val="30"/>
          <w:szCs w:val="30"/>
        </w:rPr>
        <w:t>，有江苏省罚没款收据4张（编号：0005236230、0000207455、0000207456、0005234506）,有江苏省南京市江宁区人民法院出具的结案通知书1份。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auto"/>
          <w:sz w:val="30"/>
          <w:szCs w:val="30"/>
        </w:rPr>
      </w:pPr>
      <w:r>
        <w:rPr>
          <w:rFonts w:hint="eastAsia" w:ascii="新宋体" w:hAnsi="新宋体" w:eastAsia="新宋体"/>
          <w:color w:val="auto"/>
          <w:sz w:val="30"/>
          <w:szCs w:val="30"/>
        </w:rPr>
        <w:t>为此，根据《中华人民共和国刑事诉讼法》第二百七十三条第二款之规定，建议对罪犯葛军减去有期徒刑八个月。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auto"/>
          <w:sz w:val="30"/>
          <w:szCs w:val="30"/>
        </w:rPr>
      </w:pPr>
      <w:r>
        <w:rPr>
          <w:rFonts w:ascii="新宋体" w:hAnsi="新宋体" w:eastAsia="新宋体"/>
          <w:color w:val="auto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B233E"/>
    <w:rsid w:val="255B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2024-09-25T07:48:00Z</dcterms:created>
  <dc:creator>13</dc:creator>
  <cp:lastModifiedBy>13</cp:lastModifiedBy>
  <dcterms:modified xsi:type="dcterms:W3CDTF">2024-09-25T07:48:13Z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