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/>
        <w:jc w:val="center"/>
        <w:textAlignment w:val="auto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/>
        <w:jc w:val="righ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733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任坚明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1975年9月20日生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32010619750920121X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中专文化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，原户籍地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江苏省南京市鼓楼区裕顺雅苑2号1001室。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2005年5月因对发生在负责的场所的卖淫嫖娼活动放任不管、不采取适当措施制止，被南京市公安局鼓楼分局罚款二百元；2005年9月因对发生在负责的单位的违法犯罪活动放任不管、不采取适当措施制止，被南京市公安局鼓楼分局罚款二百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江苏省南通市海门区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2021年12月24日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0684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457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任坚明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组织卖淫罪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十一年六个月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三千五百万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，责令退出违法所得人民币四千三百五十七万零七百六十六元五角，予以没收，上缴国库。该犯不服，提出上诉，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江苏省南通市中级人民法院于2022年4月22日作出（2022）苏06刑终54号刑事裁定，驳回上诉，维持原判。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2020年5月25日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2031年10月27日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2022年6月22日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9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任坚明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2023年2月、2023年7月、2024年1月、2024年6月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四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三千五百万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、责令退出违法所得人民币四千三百五十七万零七百六十六元五角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已履行671410.5元，有中国农业银行网上银行电子回单1张（编号：32417388837154558852），有江苏省罚没款专用收据2张（编号：0008144557、0008144544），有（2022）苏0684执1859号之二、（2022）苏0684执1819号之十四执行裁定书。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任坚明属财产性判项未全部履行，应当从严，罪犯任坚明属九类涉恶罪名犯罪，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9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任坚明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/>
        <w:textAlignment w:val="auto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527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0" w:lineRule="exact"/>
        <w:ind w:right="-77"/>
        <w:jc w:val="righ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72E08"/>
    <w:rsid w:val="2DB8492D"/>
    <w:rsid w:val="6187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2024-09-24T10:36:00Z</dcterms:created>
  <dc:creator>ds-case15</dc:creator>
  <cp:lastModifiedBy>王科欣(wkx)</cp:lastModifiedBy>
  <dcterms:modified xsi:type="dcterms:W3CDTF">2024-09-25T02:45:05Z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