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4"/>
        </w:tabs>
        <w:snapToGrid w:val="0"/>
        <w:spacing w:line="600" w:lineRule="exact"/>
        <w:ind w:right="-527"/>
        <w:jc w:val="center"/>
        <w:rPr>
          <w:rFonts w:hint="eastAsia" w:ascii="新宋体" w:hAnsi="新宋体" w:eastAsia="新宋体"/>
          <w:b/>
          <w:sz w:val="48"/>
          <w:szCs w:val="48"/>
        </w:rPr>
      </w:pPr>
      <w:r>
        <w:rPr>
          <w:rFonts w:hint="eastAsia" w:ascii="新宋体" w:hAnsi="新宋体" w:eastAsia="新宋体"/>
          <w:b/>
          <w:sz w:val="48"/>
          <w:szCs w:val="48"/>
        </w:rPr>
        <w:t>江苏省丁山监狱提请减刑建议书</w:t>
      </w:r>
    </w:p>
    <w:p>
      <w:pPr>
        <w:tabs>
          <w:tab w:val="left" w:pos="5054"/>
        </w:tabs>
        <w:snapToGrid w:val="0"/>
        <w:spacing w:line="300" w:lineRule="exact"/>
        <w:ind w:right="-527"/>
        <w:jc w:val="center"/>
        <w:rPr>
          <w:rFonts w:hint="eastAsia" w:ascii="新宋体" w:hAnsi="新宋体" w:eastAsia="新宋体"/>
          <w:b/>
          <w:sz w:val="28"/>
          <w:szCs w:val="28"/>
        </w:rPr>
      </w:pPr>
    </w:p>
    <w:p>
      <w:pPr>
        <w:tabs>
          <w:tab w:val="left" w:pos="5054"/>
        </w:tabs>
        <w:snapToGrid w:val="0"/>
        <w:spacing w:line="560" w:lineRule="exact"/>
        <w:ind w:right="-527"/>
        <w:jc w:val="right"/>
        <w:rPr>
          <w:rFonts w:hint="eastAsia" w:ascii="新宋体" w:hAnsi="新宋体" w:eastAsia="新宋体"/>
          <w:sz w:val="30"/>
          <w:szCs w:val="30"/>
        </w:rPr>
      </w:pPr>
      <w:r>
        <w:rPr>
          <w:rFonts w:hint="eastAsia" w:ascii="新宋体" w:hAnsi="新宋体" w:eastAsia="新宋体"/>
          <w:sz w:val="30"/>
          <w:szCs w:val="30"/>
        </w:rPr>
        <w:t>（2024）苏丁狱减建字第</w:t>
      </w:r>
      <w:r>
        <w:rPr>
          <w:rFonts w:hint="eastAsia" w:ascii="新宋体" w:hAnsi="新宋体" w:eastAsia="新宋体"/>
          <w:sz w:val="30"/>
          <w:szCs w:val="30"/>
          <w:lang w:val="en-US" w:eastAsia="zh-CN"/>
        </w:rPr>
        <w:t>753</w:t>
      </w:r>
      <w:r>
        <w:rPr>
          <w:rFonts w:hint="eastAsia" w:ascii="新宋体" w:hAnsi="新宋体" w:eastAsia="新宋体"/>
          <w:sz w:val="30"/>
          <w:szCs w:val="30"/>
        </w:rPr>
        <w:t>号</w:t>
      </w:r>
    </w:p>
    <w:p>
      <w:pPr>
        <w:keepNext w:val="0"/>
        <w:keepLines w:val="0"/>
        <w:pageBreakBefore w:val="0"/>
        <w:widowControl w:val="0"/>
        <w:tabs>
          <w:tab w:val="left" w:pos="5054"/>
        </w:tabs>
        <w:kinsoku/>
        <w:wordWrap/>
        <w:overflowPunct/>
        <w:topLinePunct w:val="0"/>
        <w:autoSpaceDE/>
        <w:autoSpaceDN/>
        <w:bidi w:val="0"/>
        <w:adjustRightInd/>
        <w:snapToGrid w:val="0"/>
        <w:spacing w:line="420" w:lineRule="exact"/>
        <w:ind w:right="-527" w:firstLine="687" w:firstLineChars="229"/>
        <w:textAlignment w:val="auto"/>
        <w:rPr>
          <w:rFonts w:hint="eastAsia" w:ascii="新宋体" w:hAnsi="新宋体" w:eastAsia="新宋体"/>
          <w:color w:val="000000"/>
          <w:sz w:val="30"/>
          <w:szCs w:val="30"/>
        </w:rPr>
      </w:pPr>
      <w:r>
        <w:rPr>
          <w:rFonts w:hint="eastAsia" w:ascii="新宋体" w:hAnsi="新宋体" w:eastAsia="新宋体"/>
          <w:sz w:val="30"/>
          <w:szCs w:val="30"/>
        </w:rPr>
        <w:t>罪犯袁佳龙，男，1976年7月24日生，公民身份号码320104197607242039，汉族，初中文化，原户籍地江苏省南京市鼓楼区草场门大街288号银城宝船听涛3栋一单元102室。</w:t>
      </w:r>
      <w:r>
        <w:rPr>
          <w:rFonts w:hint="eastAsia" w:ascii="新宋体" w:hAnsi="新宋体" w:eastAsia="新宋体"/>
          <w:color w:val="000000"/>
          <w:sz w:val="30"/>
          <w:szCs w:val="30"/>
        </w:rPr>
        <w:t>现服刑于江苏省丁山监狱。</w:t>
      </w:r>
    </w:p>
    <w:p>
      <w:pPr>
        <w:keepNext w:val="0"/>
        <w:keepLines w:val="0"/>
        <w:pageBreakBefore w:val="0"/>
        <w:widowControl w:val="0"/>
        <w:tabs>
          <w:tab w:val="left" w:pos="5054"/>
        </w:tabs>
        <w:kinsoku/>
        <w:wordWrap/>
        <w:overflowPunct/>
        <w:topLinePunct w:val="0"/>
        <w:autoSpaceDE/>
        <w:autoSpaceDN/>
        <w:bidi w:val="0"/>
        <w:adjustRightInd/>
        <w:snapToGrid w:val="0"/>
        <w:spacing w:line="420" w:lineRule="exact"/>
        <w:ind w:right="-527" w:firstLine="538"/>
        <w:textAlignment w:val="auto"/>
        <w:rPr>
          <w:rFonts w:hint="eastAsia" w:ascii="新宋体" w:hAnsi="新宋体" w:eastAsia="新宋体"/>
          <w:sz w:val="30"/>
          <w:szCs w:val="30"/>
        </w:rPr>
      </w:pPr>
      <w:r>
        <w:rPr>
          <w:rFonts w:hint="eastAsia" w:ascii="新宋体" w:hAnsi="新宋体" w:eastAsia="新宋体"/>
          <w:sz w:val="30"/>
          <w:szCs w:val="30"/>
        </w:rPr>
        <w:t>江苏省南通市海门区人民法院于2021年12月24日作出（2020）苏0684刑初457号刑事判决，认定被告人袁佳龙犯组织卖淫罪，判处有期徒刑十年九个月，并处罚金人民币三千万元，责令被告人任坚明退出犯罪所得人民币四千三百五十七万零七百六十六元五角，被告人袁佳龙对其中的人民币三千八百四十万一千六百六十一元五角承担共同退款责任，予以没收，上缴国库。该犯的同案犯不服，提出上诉，江苏省南通市中级人民法院于2022年4月22日作出（2022）苏06刑终54号刑事裁定，驳回上诉，维持原判，刑期自2020年5月25日起至2031年1月27日止。判决发生法律效力后，2022年6月22日交付执行。</w:t>
      </w:r>
    </w:p>
    <w:p>
      <w:pPr>
        <w:pStyle w:val="4"/>
        <w:keepNext w:val="0"/>
        <w:keepLines w:val="0"/>
        <w:pageBreakBefore w:val="0"/>
        <w:widowControl w:val="0"/>
        <w:kinsoku/>
        <w:wordWrap/>
        <w:overflowPunct/>
        <w:topLinePunct w:val="0"/>
        <w:autoSpaceDE/>
        <w:autoSpaceDN/>
        <w:bidi w:val="0"/>
        <w:adjustRightInd/>
        <w:spacing w:line="420" w:lineRule="exact"/>
        <w:ind w:right="-506" w:rightChars="-241" w:firstLine="675" w:firstLineChars="225"/>
        <w:jc w:val="left"/>
        <w:textAlignment w:val="auto"/>
        <w:rPr>
          <w:rFonts w:hint="eastAsia" w:ascii="新宋体" w:hAnsi="新宋体" w:eastAsia="新宋体"/>
          <w:color w:val="000000"/>
          <w:sz w:val="30"/>
          <w:szCs w:val="30"/>
        </w:rPr>
      </w:pPr>
      <w:r>
        <w:rPr>
          <w:rFonts w:hint="eastAsia" w:ascii="新宋体" w:hAnsi="新宋体" w:eastAsia="新宋体"/>
          <w:sz w:val="30"/>
          <w:szCs w:val="30"/>
        </w:rPr>
        <w:t>罪犯袁佳龙，在服刑期间能</w:t>
      </w:r>
      <w:r>
        <w:rPr>
          <w:rFonts w:hint="eastAsia" w:ascii="新宋体" w:hAnsi="新宋体" w:eastAsia="新宋体" w:cs="宋体"/>
          <w:sz w:val="30"/>
          <w:szCs w:val="30"/>
        </w:rPr>
        <w:t>认罪悔罪；认真遵守法律法规及监规，接受教育改造；积极参加思想、文化、职业技术教育；积极参加劳动，努力完成劳动任务。</w:t>
      </w:r>
      <w:r>
        <w:rPr>
          <w:rFonts w:hint="eastAsia" w:ascii="新宋体" w:hAnsi="新宋体" w:eastAsia="新宋体"/>
          <w:sz w:val="30"/>
          <w:szCs w:val="30"/>
        </w:rPr>
        <w:t>2023年2月、2023年8月、2024年1月、2024年7月受到表扬四次，确有悔改表现。</w:t>
      </w:r>
      <w:r>
        <w:rPr>
          <w:rFonts w:hint="eastAsia" w:ascii="新宋体" w:hAnsi="新宋体" w:eastAsia="新宋体"/>
          <w:color w:val="000000"/>
          <w:sz w:val="30"/>
          <w:szCs w:val="30"/>
        </w:rPr>
        <w:t>判处罚金人民币三千万元，退出犯罪所得人民币</w:t>
      </w:r>
      <w:r>
        <w:rPr>
          <w:rFonts w:hint="eastAsia" w:ascii="新宋体" w:hAnsi="新宋体" w:eastAsia="新宋体"/>
          <w:sz w:val="30"/>
          <w:szCs w:val="30"/>
        </w:rPr>
        <w:t>三千八百四十万一千六百六十一元五角</w:t>
      </w:r>
      <w:r>
        <w:rPr>
          <w:rFonts w:hint="eastAsia" w:ascii="新宋体" w:hAnsi="新宋体" w:eastAsia="新宋体"/>
          <w:color w:val="000000"/>
          <w:sz w:val="30"/>
          <w:szCs w:val="30"/>
        </w:rPr>
        <w:t>个人已履行3475元，判前查封不动产一套、汽车一辆,有江苏省南通市海门区人民法院出具的执行裁定书2份,有网上银行电子回单（回单编号：32418716890124114979）。罪犯袁佳龙，财产性判项未全部履行，应当从严，且该犯属九类涉恶罪名犯罪，故对其减刑幅度适当缩减。</w:t>
      </w:r>
    </w:p>
    <w:p>
      <w:pPr>
        <w:pStyle w:val="4"/>
        <w:keepNext w:val="0"/>
        <w:keepLines w:val="0"/>
        <w:pageBreakBefore w:val="0"/>
        <w:widowControl w:val="0"/>
        <w:tabs>
          <w:tab w:val="left" w:pos="5054"/>
        </w:tabs>
        <w:kinsoku/>
        <w:wordWrap/>
        <w:overflowPunct/>
        <w:topLinePunct w:val="0"/>
        <w:autoSpaceDE/>
        <w:autoSpaceDN/>
        <w:bidi w:val="0"/>
        <w:adjustRightInd/>
        <w:spacing w:line="420" w:lineRule="exact"/>
        <w:ind w:right="-506" w:rightChars="-241" w:firstLine="600" w:firstLineChars="200"/>
        <w:textAlignment w:val="auto"/>
        <w:rPr>
          <w:rFonts w:hint="eastAsia" w:ascii="新宋体" w:hAnsi="新宋体" w:eastAsia="新宋体"/>
          <w:sz w:val="30"/>
          <w:szCs w:val="30"/>
        </w:rPr>
      </w:pPr>
      <w:r>
        <w:rPr>
          <w:rFonts w:hint="eastAsia" w:ascii="新宋体" w:hAnsi="新宋体" w:eastAsia="新宋体"/>
          <w:sz w:val="30"/>
          <w:szCs w:val="30"/>
        </w:rPr>
        <w:t>为此，根据《中华人民共和国刑事诉讼法》第二百七十三条第二款之规定，建议对罪犯袁佳龙减去有期徒刑六个月。</w:t>
      </w:r>
    </w:p>
    <w:p>
      <w:pPr>
        <w:pStyle w:val="3"/>
        <w:tabs>
          <w:tab w:val="left" w:pos="5054"/>
        </w:tabs>
        <w:snapToGrid w:val="0"/>
        <w:spacing w:line="460" w:lineRule="exact"/>
        <w:ind w:right="-527"/>
        <w:rPr>
          <w:rFonts w:ascii="新宋体" w:hAnsi="新宋体" w:eastAsia="新宋体"/>
          <w:sz w:val="30"/>
          <w:szCs w:val="30"/>
        </w:rPr>
      </w:pPr>
      <w:r>
        <w:rPr>
          <w:rFonts w:ascii="新宋体" w:hAnsi="新宋体" w:eastAsia="新宋体"/>
          <w:sz w:val="30"/>
          <w:szCs w:val="30"/>
        </w:rPr>
        <w:t>特提请审核裁定</w:t>
      </w:r>
    </w:p>
    <w:p>
      <w:pPr>
        <w:tabs>
          <w:tab w:val="left" w:pos="5054"/>
        </w:tabs>
        <w:snapToGrid w:val="0"/>
        <w:spacing w:line="460" w:lineRule="exact"/>
        <w:ind w:right="-527" w:firstLine="600" w:firstLineChars="200"/>
        <w:jc w:val="left"/>
        <w:rPr>
          <w:rFonts w:hint="eastAsia" w:ascii="新宋体" w:hAnsi="新宋体" w:eastAsia="新宋体"/>
          <w:color w:val="000000"/>
          <w:sz w:val="30"/>
          <w:szCs w:val="30"/>
        </w:rPr>
      </w:pPr>
      <w:r>
        <w:rPr>
          <w:rFonts w:hint="eastAsia" w:ascii="新宋体" w:hAnsi="新宋体" w:eastAsia="新宋体"/>
          <w:sz w:val="30"/>
          <w:szCs w:val="30"/>
        </w:rPr>
        <w:t>此致</w:t>
      </w:r>
    </w:p>
    <w:p>
      <w:pPr>
        <w:tabs>
          <w:tab w:val="left" w:pos="5054"/>
        </w:tabs>
        <w:snapToGrid w:val="0"/>
        <w:spacing w:line="460" w:lineRule="exact"/>
        <w:ind w:right="-527"/>
        <w:rPr>
          <w:rFonts w:hint="eastAsia" w:ascii="新宋体" w:hAnsi="新宋体" w:eastAsia="新宋体"/>
          <w:color w:val="000000"/>
          <w:sz w:val="30"/>
          <w:szCs w:val="30"/>
        </w:rPr>
      </w:pPr>
      <w:r>
        <w:rPr>
          <w:rFonts w:hint="eastAsia" w:ascii="新宋体" w:hAnsi="新宋体" w:eastAsia="新宋体"/>
          <w:sz w:val="30"/>
          <w:szCs w:val="30"/>
        </w:rPr>
        <w:t>江苏省无锡市中级人民法院</w:t>
      </w:r>
    </w:p>
    <w:p>
      <w:r>
        <w:rPr>
          <w:rFonts w:hint="eastAsia" w:ascii="新宋体" w:hAnsi="新宋体" w:eastAsia="新宋体"/>
          <w:bCs/>
          <w:sz w:val="30"/>
          <w:szCs w:val="30"/>
          <w:lang w:eastAsia="zh-CN"/>
        </w:rPr>
        <w:t>2024年9月18日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F35535"/>
    <w:rsid w:val="0AF35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index 5"/>
    <w:basedOn w:val="1"/>
    <w:next w:val="1"/>
    <w:semiHidden/>
    <w:uiPriority w:val="0"/>
    <w:pPr>
      <w:ind w:left="800" w:leftChars="800"/>
    </w:pPr>
  </w:style>
  <w:style w:type="paragraph" w:styleId="3">
    <w:name w:val="Salutation"/>
    <w:basedOn w:val="1"/>
    <w:next w:val="1"/>
    <w:uiPriority w:val="0"/>
    <w:rPr>
      <w:rFonts w:hint="eastAsia" w:ascii="宋体"/>
      <w:sz w:val="32"/>
      <w:szCs w:val="20"/>
    </w:rPr>
  </w:style>
  <w:style w:type="paragraph" w:styleId="4">
    <w:name w:val="Plain Text"/>
    <w:next w:val="2"/>
    <w:uiPriority w:val="0"/>
    <w:pPr>
      <w:widowControl w:val="0"/>
      <w:jc w:val="both"/>
    </w:pPr>
    <w:rPr>
      <w:rFonts w:ascii="宋体" w:hAnsi="Times New Roman"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2024-09-25T07:49:00Z</dcterms:created>
  <dc:creator>13</dc:creator>
  <cp:lastModifiedBy>13</cp:lastModifiedBy>
  <dcterms:modified xsi:type="dcterms:W3CDTF">2024-09-25T07:49:18Z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