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628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 w:firstLine="687" w:firstLineChars="229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罪犯冷柏龙，男，1969年8月20日出生于江苏省镇江市，汉族，高中文化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 w:firstLine="538"/>
        <w:textAlignment w:val="auto"/>
        <w:outlineLvl w:val="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江苏省南京市秦淮区人民法院于2020年5月12日作出(2019)</w:t>
      </w:r>
      <w:r>
        <w:rPr>
          <w:rFonts w:hint="eastAsia" w:ascii="新宋体" w:hAnsi="新宋体" w:eastAsia="新宋体"/>
          <w:sz w:val="30"/>
          <w:szCs w:val="30"/>
          <w:u w:val="none"/>
        </w:rPr>
        <w:t>苏0104刑初108号刑事判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  <w:u w:val="none"/>
        </w:rPr>
        <w:t>决，认定被告人冷柏龙犯诈骗罪，判处有期徒刑十年一个月，并处罚金人民币十万元，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责令二被告共同</w:t>
      </w:r>
      <w:r>
        <w:rPr>
          <w:rFonts w:hint="eastAsia" w:ascii="新宋体" w:hAnsi="新宋体" w:eastAsia="新宋体"/>
          <w:sz w:val="30"/>
          <w:szCs w:val="30"/>
          <w:u w:val="none"/>
        </w:rPr>
        <w:t>退赔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被害人</w:t>
      </w:r>
      <w:r>
        <w:rPr>
          <w:rFonts w:hint="eastAsia" w:ascii="新宋体" w:hAnsi="新宋体" w:eastAsia="新宋体"/>
          <w:sz w:val="30"/>
          <w:szCs w:val="30"/>
          <w:u w:val="none"/>
        </w:rPr>
        <w:t>人民币二百元。该犯不服，提出上诉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</w:rPr>
        <w:t>江苏省南京市中级人民法院于202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0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22</w:t>
      </w:r>
      <w:r>
        <w:rPr>
          <w:rFonts w:hint="eastAsia" w:ascii="新宋体" w:hAnsi="新宋体" w:eastAsia="新宋体"/>
          <w:sz w:val="30"/>
          <w:szCs w:val="30"/>
          <w:u w:val="none"/>
        </w:rPr>
        <w:t>日作出（2020）苏01刑终290号刑事裁定，驳回上诉，维持原判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</w:rPr>
        <w:t>刑期自2018年9月13日起至2028年10月12日止。判决发生法律效力后，2020年8月10日交付执行。该犯在服刑期间，因有悔改表现，无锡市中级人民法院于2023年1月19日作出（2023）苏02刑更40号刑事裁定，减去有期徒刑八个月，减刑后的刑期至2028年2月12日止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-506" w:rightChars="-241" w:firstLine="675" w:firstLineChars="225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罪犯冷柏龙，在服刑期间能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2023年2月、2023年8月、202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sz w:val="30"/>
          <w:szCs w:val="30"/>
          <w:u w:val="none"/>
        </w:rPr>
        <w:t>年1月、2024年6月受到表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扬四次，确有悔改表现。判处罚金人民币十万元、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责令共同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退赔人民币二百元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均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已履行，有江苏省南京市秦淮区人民法院出具的结案通知书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份（案号：2022苏0104执恢769号）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，有江苏省行政事业单位资金往来结算票据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val="en-US" w:eastAsia="zh-CN"/>
        </w:rPr>
        <w:t>2张（编号：192365、5105978）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-506" w:rightChars="-241" w:firstLine="600" w:firstLineChars="200"/>
        <w:textAlignment w:val="auto"/>
        <w:outlineLvl w:val="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为此，根据《中华人民共和国刑事诉讼法》第二百七十三条第二款之规定，建议对罪犯冷柏龙减去有期徒刑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八</w:t>
      </w:r>
      <w:r>
        <w:rPr>
          <w:rFonts w:hint="eastAsia" w:ascii="新宋体" w:hAnsi="新宋体" w:eastAsia="新宋体"/>
          <w:sz w:val="30"/>
          <w:szCs w:val="30"/>
          <w:u w:val="none"/>
        </w:rPr>
        <w:t>个月。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/>
        <w:textAlignment w:val="auto"/>
        <w:outlineLvl w:val="9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 w:firstLine="600" w:firstLineChars="200"/>
        <w:jc w:val="left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15E29"/>
    <w:rsid w:val="5AE4091C"/>
    <w:rsid w:val="616841A4"/>
    <w:rsid w:val="6E51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2024-09-24T11:44:00Z</dcterms:created>
  <dc:creator>王继禄(wjl)</dc:creator>
  <cp:lastModifiedBy>王继禄(wjl)</cp:lastModifiedBy>
  <dcterms:modified xsi:type="dcterms:W3CDTF">2024-09-24T11:56:07Z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