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637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罪犯卫焱波，男，1994年7月2日出生，汉族，初中文化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江苏省淮安市人民法院于2020年11月9日作出（2020）苏0621刑初238号刑事判决，认定被告人卫焱波犯贩卖毒品罪，判处有期徒刑九年，并处罚金人民币三万五千元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。责令</w:t>
      </w:r>
      <w:r>
        <w:rPr>
          <w:rFonts w:hint="eastAsia" w:ascii="新宋体" w:hAnsi="新宋体" w:eastAsia="新宋体"/>
          <w:sz w:val="30"/>
          <w:szCs w:val="30"/>
          <w:u w:val="none"/>
        </w:rPr>
        <w:t>追缴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二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被告</w:t>
      </w:r>
      <w:r>
        <w:rPr>
          <w:rFonts w:hint="eastAsia" w:ascii="新宋体" w:hAnsi="新宋体" w:eastAsia="新宋体"/>
          <w:sz w:val="30"/>
          <w:szCs w:val="30"/>
          <w:u w:val="none"/>
        </w:rPr>
        <w:t>共同违法所得人民币二万四千一百五十元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，予以没收，上缴国库</w:t>
      </w:r>
      <w:r>
        <w:rPr>
          <w:rFonts w:hint="eastAsia" w:ascii="新宋体" w:hAnsi="新宋体" w:eastAsia="新宋体"/>
          <w:sz w:val="30"/>
          <w:szCs w:val="30"/>
          <w:u w:val="none"/>
        </w:rPr>
        <w:t>。该犯不服，提出上诉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南通市中级人民法院于2021年2月22日作出（2020）苏06刑终388号刑事裁定，驳回上诉，维持原判，刑期自2020年4月15日起至2029年4月14日止。判决发生法律效力后，2021年4月27日交付执行。该犯在服刑期间，因有悔改表现，无锡市中级人民法院于2023年4月27日作出（2023）苏02刑更317号刑事裁定，减去有期徒刑八个月，减刑后的刑期至2028年8月14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罪犯卫焱波，在服刑期间能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2023年5月、2023年10月、2024年3月受到表扬三次，确有悔改表现。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人民币三万五千元、追缴共同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违法所得人民币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24150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江苏省非税收入一般缴款书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1张（编号：1401673），有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江苏省罚没款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专用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收据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5331882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）,有江苏省海安市人民法院出具的结案通知书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2张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、执行证明书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1张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（案号：2021苏0621执2430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号、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2022苏0621执3226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为此，根据《中华人民共和国刑事诉讼法》第二百七十三条第二款之规定，建议对罪犯卫焱波减去有期徒刑八个月。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45F37"/>
    <w:rsid w:val="22954CA4"/>
    <w:rsid w:val="57A45F37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