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00" w:lineRule="exact"/>
        <w:ind w:right="0" w:rightChars="0"/>
        <w:jc w:val="center"/>
        <w:rPr>
          <w:color w:val="auto"/>
          <w:highlight w:val="none"/>
        </w:rPr>
      </w:pPr>
      <w:r>
        <w:rPr>
          <w:rFonts w:hint="eastAsia"/>
          <w:b/>
          <w:color w:val="auto"/>
          <w:sz w:val="48"/>
          <w:highlight w:val="none"/>
        </w:rPr>
        <w:t>江苏省丁山监狱提请减刑建议书</w:t>
      </w:r>
    </w:p>
    <w:p>
      <w:pPr>
        <w:keepNext w:val="0"/>
        <w:keepLines w:val="0"/>
        <w:pageBreakBefore w:val="0"/>
        <w:widowControl w:val="0"/>
        <w:kinsoku/>
        <w:wordWrap/>
        <w:overflowPunct/>
        <w:topLinePunct w:val="0"/>
        <w:autoSpaceDE/>
        <w:autoSpaceDN/>
        <w:bidi w:val="0"/>
        <w:adjustRightInd/>
        <w:snapToGrid w:val="0"/>
        <w:spacing w:line="320" w:lineRule="exact"/>
        <w:ind w:left="2835" w:right="0" w:rightChars="0" w:firstLine="567"/>
        <w:jc w:val="distribute"/>
        <w:textAlignment w:val="auto"/>
        <w:rPr>
          <w:color w:val="auto"/>
          <w:highlight w:val="none"/>
        </w:rPr>
      </w:pPr>
    </w:p>
    <w:p>
      <w:pPr>
        <w:keepNext w:val="0"/>
        <w:keepLines w:val="0"/>
        <w:pageBreakBefore w:val="0"/>
        <w:widowControl w:val="0"/>
        <w:kinsoku/>
        <w:wordWrap/>
        <w:overflowPunct/>
        <w:topLinePunct w:val="0"/>
        <w:autoSpaceDE/>
        <w:autoSpaceDN/>
        <w:bidi w:val="0"/>
        <w:adjustRightInd/>
        <w:snapToGrid w:val="0"/>
        <w:spacing w:line="320" w:lineRule="exact"/>
        <w:ind w:right="0" w:rightChars="0"/>
        <w:jc w:val="right"/>
        <w:textAlignment w:val="auto"/>
        <w:rPr>
          <w:rFonts w:hint="eastAsia" w:ascii="宋体" w:hAnsi="宋体" w:eastAsia="宋体"/>
          <w:color w:val="auto"/>
          <w:sz w:val="30"/>
          <w:szCs w:val="30"/>
          <w:highlight w:val="none"/>
          <w:lang w:eastAsia="zh-CN"/>
        </w:rPr>
      </w:pPr>
      <w:r>
        <w:rPr>
          <w:rFonts w:hint="eastAsia" w:ascii="宋体" w:hAnsi="宋体"/>
          <w:color w:val="auto"/>
          <w:sz w:val="30"/>
          <w:szCs w:val="30"/>
          <w:highlight w:val="none"/>
          <w:lang w:eastAsia="zh-CN"/>
        </w:rPr>
        <w:t>（2024）苏丁狱减建字第</w:t>
      </w:r>
      <w:r>
        <w:rPr>
          <w:rFonts w:hint="eastAsia" w:ascii="宋体" w:hAnsi="宋体"/>
          <w:color w:val="auto"/>
          <w:sz w:val="30"/>
          <w:szCs w:val="30"/>
          <w:highlight w:val="none"/>
          <w:lang w:val="en-US" w:eastAsia="zh-CN"/>
        </w:rPr>
        <w:t>534</w:t>
      </w:r>
      <w:r>
        <w:rPr>
          <w:rFonts w:hint="eastAsia" w:ascii="宋体" w:hAnsi="宋体"/>
          <w:color w:val="auto"/>
          <w:sz w:val="30"/>
          <w:szCs w:val="30"/>
          <w:highlight w:val="none"/>
          <w:lang w:eastAsia="zh-CN"/>
        </w:rPr>
        <w:t>号</w:t>
      </w: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20" w:lineRule="exact"/>
        <w:ind w:left="0" w:right="0" w:firstLine="420" w:firstLineChars="200"/>
        <w:jc w:val="both"/>
        <w:textAlignment w:val="auto"/>
        <w:rPr>
          <w:rFonts w:hint="eastAsia" w:ascii="宋体" w:hAnsi="宋体"/>
          <w:color w:val="auto"/>
          <w:sz w:val="30"/>
          <w:highlight w:val="none"/>
        </w:rPr>
      </w:pPr>
      <w:r>
        <w:rPr>
          <w:rFonts w:hint="eastAsia" w:ascii="宋体" w:hAnsi="宋体"/>
          <w:color w:val="auto"/>
          <w:highlight w:val="none"/>
        </w:rPr>
        <w:t> </w:t>
      </w:r>
      <w:r>
        <w:rPr>
          <w:rFonts w:hint="eastAsia" w:ascii="宋体" w:hAnsi="宋体"/>
          <w:color w:val="auto"/>
          <w:sz w:val="30"/>
          <w:highlight w:val="none"/>
        </w:rPr>
        <w:t>罪犯龚金金，男，1987年8月19日出生于江苏省南通市，公民身份号码320684198708193671，汉族，大专文化，原户籍地江苏省南通市海门区滨江街道棉种场大队1组72号。</w:t>
      </w:r>
      <w:r>
        <w:rPr>
          <w:rFonts w:hint="eastAsia" w:ascii="宋体" w:hAnsi="宋体" w:eastAsia="宋体" w:cs="宋体"/>
          <w:kern w:val="2"/>
          <w:sz w:val="30"/>
          <w:szCs w:val="30"/>
          <w:lang w:val="en-US" w:eastAsia="zh-CN" w:bidi="ar"/>
        </w:rPr>
        <w:t>2009年4月因吸毒被南通市公安局崇川分局行政拘留十日并处罚款人民币二千元；2012年5月因吸毒被南通市公安局崇川分局行政拘留十日并处罚款人民币二千元；2012年6月被南通市公安局崇川分局责令社区戒毒三年；2013年4月因吸毒被南通市海门区公安局行政拘留十二日；同月被该局强制戒毒二年；2019年8月因吸毒被浙江省嘉善县公安局行政拘留十二日；同月被该局强制戒毒二年。现服刑于江苏省丁山监狱。</w:t>
      </w: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20" w:lineRule="exact"/>
        <w:ind w:left="0" w:right="0" w:firstLine="600" w:firstLineChars="200"/>
        <w:jc w:val="both"/>
        <w:textAlignment w:val="auto"/>
        <w:rPr>
          <w:rFonts w:hint="eastAsia" w:ascii="宋体" w:hAnsi="宋体"/>
          <w:color w:val="auto"/>
          <w:sz w:val="30"/>
          <w:highlight w:val="none"/>
        </w:rPr>
      </w:pPr>
      <w:r>
        <w:rPr>
          <w:rFonts w:hint="eastAsia" w:ascii="宋体" w:hAnsi="宋体"/>
          <w:color w:val="auto"/>
          <w:sz w:val="30"/>
          <w:highlight w:val="none"/>
        </w:rPr>
        <w:t>江苏省南通市海门区人民法院于2020年10月30日作出(2020)苏0684刑初118号刑事判决，认定被告人龚金金犯诈骗罪，判处有期徒刑十年六个月，并处罚金人民币三十万元，继续追缴被告人</w:t>
      </w:r>
      <w:r>
        <w:rPr>
          <w:rFonts w:hint="eastAsia" w:ascii="宋体" w:hAnsi="宋体"/>
          <w:color w:val="auto"/>
          <w:sz w:val="30"/>
          <w:highlight w:val="none"/>
          <w:lang w:eastAsia="zh-CN"/>
        </w:rPr>
        <w:t>诈骗</w:t>
      </w:r>
      <w:r>
        <w:rPr>
          <w:rFonts w:hint="eastAsia" w:ascii="宋体" w:hAnsi="宋体"/>
          <w:color w:val="auto"/>
          <w:sz w:val="30"/>
          <w:highlight w:val="none"/>
        </w:rPr>
        <w:t>犯罪所得人民币八十三万三千三百三十二元。该犯不服，提出上诉，江苏省南通市中级人民法院于2021年2月18日作出（2020</w:t>
      </w:r>
      <w:r>
        <w:rPr>
          <w:rFonts w:hint="eastAsia" w:ascii="宋体" w:hAnsi="宋体"/>
          <w:color w:val="auto"/>
          <w:sz w:val="30"/>
          <w:highlight w:val="none"/>
          <w:lang w:eastAsia="zh-CN"/>
        </w:rPr>
        <w:t>）</w:t>
      </w:r>
      <w:r>
        <w:rPr>
          <w:rFonts w:hint="eastAsia" w:ascii="宋体" w:hAnsi="宋体"/>
          <w:color w:val="auto"/>
          <w:sz w:val="30"/>
          <w:highlight w:val="none"/>
        </w:rPr>
        <w:t>苏06刑终382号刑事裁定，驳回上诉，维持原判。刑期自2019年12月20日起至2030年6月19日止。判决发生法律效力后，2021年3月18日交付执行。</w:t>
      </w:r>
      <w:r>
        <w:rPr>
          <w:rFonts w:hint="eastAsia" w:ascii="宋体" w:hAnsi="宋体"/>
          <w:color w:val="auto"/>
          <w:sz w:val="30"/>
          <w:highlight w:val="none"/>
          <w:lang w:val="en-US" w:eastAsia="zh-CN"/>
        </w:rPr>
        <w:t>因该犯有多次劣迹，财产性判项未履行，且月均消费明显高于全监平均水平，2024年第三批次监狱对其暂缓报请减刑。</w:t>
      </w:r>
    </w:p>
    <w:p>
      <w:pPr>
        <w:keepNext w:val="0"/>
        <w:keepLines w:val="0"/>
        <w:pageBreakBefore w:val="0"/>
        <w:widowControl w:val="0"/>
        <w:kinsoku/>
        <w:wordWrap/>
        <w:overflowPunct/>
        <w:topLinePunct w:val="0"/>
        <w:autoSpaceDE/>
        <w:autoSpaceDN/>
        <w:bidi w:val="0"/>
        <w:adjustRightInd/>
        <w:snapToGrid w:val="0"/>
        <w:spacing w:line="320" w:lineRule="exact"/>
        <w:ind w:right="0" w:rightChars="0" w:firstLine="600" w:firstLineChars="200"/>
        <w:textAlignment w:val="auto"/>
        <w:rPr>
          <w:rFonts w:hint="eastAsia" w:ascii="宋体" w:hAnsi="宋体"/>
          <w:color w:val="auto"/>
          <w:sz w:val="30"/>
          <w:highlight w:val="none"/>
        </w:rPr>
      </w:pPr>
      <w:r>
        <w:rPr>
          <w:rFonts w:hint="eastAsia" w:ascii="宋体" w:hAnsi="宋体"/>
          <w:color w:val="auto"/>
          <w:sz w:val="30"/>
          <w:highlight w:val="none"/>
        </w:rPr>
        <w:t>罪犯龚金金，在服刑期间能认罪悔罪；认真遵守法律法规及监规，接受教育改造；积极参加思想、文化、职业技术教育；积极参加劳动,努力完成劳动任务。2021年12月、2022年5月、2022年10月、2023年4月、2023年9月、2024年2月、2024年7月</w:t>
      </w:r>
      <w:r>
        <w:rPr>
          <w:rFonts w:hint="eastAsia" w:ascii="宋体" w:hAnsi="宋体"/>
          <w:color w:val="auto"/>
          <w:sz w:val="30"/>
          <w:highlight w:val="none"/>
          <w:lang w:eastAsia="zh-CN"/>
        </w:rPr>
        <w:t>受到表扬</w:t>
      </w:r>
      <w:r>
        <w:rPr>
          <w:rFonts w:hint="eastAsia" w:ascii="宋体" w:hAnsi="宋体"/>
          <w:color w:val="auto"/>
          <w:sz w:val="30"/>
          <w:highlight w:val="none"/>
        </w:rPr>
        <w:t>七次，确有悔改表现。判处罚金人民币三十万元</w:t>
      </w:r>
      <w:r>
        <w:rPr>
          <w:rFonts w:hint="eastAsia" w:ascii="宋体" w:hAnsi="宋体"/>
          <w:color w:val="auto"/>
          <w:sz w:val="30"/>
          <w:highlight w:val="none"/>
          <w:lang w:eastAsia="zh-CN"/>
        </w:rPr>
        <w:t>、</w:t>
      </w:r>
      <w:r>
        <w:rPr>
          <w:rFonts w:hint="eastAsia" w:ascii="宋体" w:hAnsi="宋体"/>
          <w:color w:val="auto"/>
          <w:sz w:val="30"/>
          <w:highlight w:val="none"/>
        </w:rPr>
        <w:t>继续追缴</w:t>
      </w:r>
      <w:r>
        <w:rPr>
          <w:rFonts w:hint="eastAsia" w:ascii="宋体" w:hAnsi="宋体"/>
          <w:color w:val="auto"/>
          <w:sz w:val="30"/>
          <w:highlight w:val="none"/>
          <w:lang w:eastAsia="zh-CN"/>
        </w:rPr>
        <w:t>诈骗</w:t>
      </w:r>
      <w:r>
        <w:rPr>
          <w:rFonts w:hint="eastAsia" w:ascii="宋体" w:hAnsi="宋体"/>
          <w:color w:val="auto"/>
          <w:sz w:val="30"/>
          <w:highlight w:val="none"/>
        </w:rPr>
        <w:t>犯罪所得人民币八十三万三千三百三十二元</w:t>
      </w:r>
      <w:r>
        <w:rPr>
          <w:rFonts w:hint="eastAsia" w:ascii="宋体" w:hAnsi="宋体"/>
          <w:color w:val="auto"/>
          <w:sz w:val="30"/>
          <w:highlight w:val="none"/>
          <w:lang w:eastAsia="zh-CN"/>
        </w:rPr>
        <w:t>共履行了人民币一万七千元</w:t>
      </w:r>
      <w:r>
        <w:rPr>
          <w:rFonts w:hint="eastAsia" w:ascii="宋体" w:hAnsi="宋体"/>
          <w:color w:val="auto"/>
          <w:sz w:val="30"/>
          <w:highlight w:val="none"/>
        </w:rPr>
        <w:t>，有</w:t>
      </w:r>
      <w:r>
        <w:rPr>
          <w:rFonts w:hint="eastAsia" w:ascii="新宋体" w:hAnsi="新宋体" w:eastAsia="新宋体" w:cs="新宋体"/>
          <w:b w:val="0"/>
          <w:bCs w:val="0"/>
          <w:color w:val="auto"/>
          <w:sz w:val="30"/>
          <w:szCs w:val="30"/>
          <w:highlight w:val="none"/>
          <w:lang w:eastAsia="zh-CN"/>
        </w:rPr>
        <w:t>中国农业银行</w:t>
      </w:r>
      <w:r>
        <w:rPr>
          <w:rFonts w:hint="eastAsia" w:ascii="新宋体" w:hAnsi="新宋体" w:eastAsia="新宋体" w:cs="新宋体"/>
          <w:b w:val="0"/>
          <w:bCs w:val="0"/>
          <w:color w:val="auto"/>
          <w:sz w:val="30"/>
          <w:szCs w:val="30"/>
          <w:highlight w:val="none"/>
        </w:rPr>
        <w:t>网上银行电子回单1张</w:t>
      </w:r>
      <w:r>
        <w:rPr>
          <w:rFonts w:hint="eastAsia" w:ascii="新宋体" w:hAnsi="新宋体" w:eastAsia="新宋体" w:cs="新宋体"/>
          <w:b w:val="0"/>
          <w:bCs w:val="0"/>
          <w:color w:val="auto"/>
          <w:sz w:val="30"/>
          <w:szCs w:val="30"/>
          <w:highlight w:val="none"/>
          <w:lang w:eastAsia="zh-CN"/>
        </w:rPr>
        <w:t>、江苏省罚没款专用收据（电子）</w:t>
      </w:r>
      <w:r>
        <w:rPr>
          <w:rFonts w:hint="eastAsia" w:ascii="新宋体" w:hAnsi="新宋体" w:eastAsia="新宋体" w:cs="新宋体"/>
          <w:b w:val="0"/>
          <w:bCs w:val="0"/>
          <w:color w:val="auto"/>
          <w:sz w:val="30"/>
          <w:szCs w:val="30"/>
          <w:highlight w:val="none"/>
          <w:lang w:val="en-US" w:eastAsia="zh-CN"/>
        </w:rPr>
        <w:t>1张（票据号码0005151937）、</w:t>
      </w:r>
      <w:r>
        <w:rPr>
          <w:rFonts w:hint="eastAsia" w:ascii="宋体" w:hAnsi="宋体"/>
          <w:color w:val="auto"/>
          <w:sz w:val="30"/>
          <w:highlight w:val="none"/>
        </w:rPr>
        <w:t>江苏省行政事业单位资金往来结算票据</w:t>
      </w:r>
      <w:r>
        <w:rPr>
          <w:rFonts w:hint="eastAsia" w:ascii="宋体" w:hAnsi="宋体"/>
          <w:color w:val="auto"/>
          <w:sz w:val="30"/>
          <w:highlight w:val="none"/>
          <w:lang w:eastAsia="zh-CN"/>
        </w:rPr>
        <w:t>（电子）</w:t>
      </w:r>
      <w:r>
        <w:rPr>
          <w:rFonts w:hint="eastAsia" w:ascii="宋体" w:hAnsi="宋体"/>
          <w:color w:val="auto"/>
          <w:sz w:val="30"/>
          <w:highlight w:val="none"/>
          <w:lang w:val="en-US" w:eastAsia="zh-CN"/>
        </w:rPr>
        <w:t>1</w:t>
      </w:r>
      <w:r>
        <w:rPr>
          <w:rFonts w:hint="eastAsia" w:ascii="宋体" w:hAnsi="宋体"/>
          <w:color w:val="auto"/>
          <w:sz w:val="30"/>
          <w:highlight w:val="none"/>
        </w:rPr>
        <w:t>张（</w:t>
      </w:r>
      <w:r>
        <w:rPr>
          <w:rFonts w:hint="eastAsia" w:ascii="宋体" w:hAnsi="宋体"/>
          <w:color w:val="auto"/>
          <w:sz w:val="30"/>
          <w:highlight w:val="none"/>
          <w:lang w:eastAsia="zh-CN"/>
        </w:rPr>
        <w:t>票据号码</w:t>
      </w:r>
      <w:r>
        <w:rPr>
          <w:rFonts w:hint="eastAsia" w:ascii="宋体" w:hAnsi="宋体"/>
          <w:color w:val="auto"/>
          <w:sz w:val="30"/>
          <w:highlight w:val="none"/>
        </w:rPr>
        <w:t>0124532170）</w:t>
      </w:r>
      <w:r>
        <w:rPr>
          <w:rFonts w:hint="eastAsia" w:ascii="宋体" w:hAnsi="宋体"/>
          <w:color w:val="auto"/>
          <w:sz w:val="30"/>
          <w:highlight w:val="none"/>
          <w:lang w:eastAsia="zh-CN"/>
        </w:rPr>
        <w:t>和</w:t>
      </w:r>
      <w:r>
        <w:rPr>
          <w:rFonts w:hint="eastAsia" w:ascii="宋体" w:hAnsi="宋体"/>
          <w:color w:val="auto"/>
          <w:sz w:val="30"/>
          <w:highlight w:val="none"/>
        </w:rPr>
        <w:t>江苏省南通市海门区人民法院</w:t>
      </w:r>
      <w:r>
        <w:rPr>
          <w:rFonts w:hint="eastAsia" w:ascii="宋体" w:hAnsi="宋体"/>
          <w:color w:val="auto"/>
          <w:sz w:val="30"/>
          <w:highlight w:val="none"/>
          <w:lang w:eastAsia="zh-CN"/>
        </w:rPr>
        <w:t>出具的（</w:t>
      </w:r>
      <w:r>
        <w:rPr>
          <w:rFonts w:hint="eastAsia" w:ascii="宋体" w:hAnsi="宋体"/>
          <w:color w:val="auto"/>
          <w:sz w:val="30"/>
          <w:highlight w:val="none"/>
          <w:lang w:val="en-US" w:eastAsia="zh-CN"/>
        </w:rPr>
        <w:t>2020</w:t>
      </w:r>
      <w:r>
        <w:rPr>
          <w:rFonts w:hint="eastAsia" w:ascii="宋体" w:hAnsi="宋体"/>
          <w:color w:val="auto"/>
          <w:sz w:val="30"/>
          <w:highlight w:val="none"/>
          <w:lang w:eastAsia="zh-CN"/>
        </w:rPr>
        <w:t>）苏</w:t>
      </w:r>
      <w:r>
        <w:rPr>
          <w:rFonts w:hint="eastAsia" w:ascii="宋体" w:hAnsi="宋体"/>
          <w:color w:val="auto"/>
          <w:sz w:val="30"/>
          <w:highlight w:val="none"/>
          <w:lang w:val="en-US" w:eastAsia="zh-CN"/>
        </w:rPr>
        <w:t>0684执1550号之一、（2024）苏0613执恢607号之二</w:t>
      </w:r>
      <w:r>
        <w:rPr>
          <w:rFonts w:hint="eastAsia" w:ascii="宋体" w:hAnsi="宋体"/>
          <w:color w:val="auto"/>
          <w:sz w:val="30"/>
          <w:highlight w:val="none"/>
        </w:rPr>
        <w:t>执行裁定书</w:t>
      </w:r>
      <w:r>
        <w:rPr>
          <w:rFonts w:hint="eastAsia" w:ascii="宋体" w:hAnsi="宋体"/>
          <w:color w:val="auto"/>
          <w:sz w:val="30"/>
          <w:highlight w:val="none"/>
          <w:lang w:val="en-US" w:eastAsia="zh-CN"/>
        </w:rPr>
        <w:t>2</w:t>
      </w:r>
      <w:r>
        <w:rPr>
          <w:rFonts w:hint="eastAsia" w:ascii="宋体" w:hAnsi="宋体"/>
          <w:color w:val="auto"/>
          <w:sz w:val="30"/>
          <w:highlight w:val="none"/>
        </w:rPr>
        <w:t>份。罪犯龚金金</w:t>
      </w:r>
      <w:r>
        <w:rPr>
          <w:rFonts w:hint="eastAsia" w:ascii="宋体" w:hAnsi="宋体"/>
          <w:color w:val="auto"/>
          <w:sz w:val="30"/>
          <w:highlight w:val="none"/>
          <w:lang w:eastAsia="zh-CN"/>
        </w:rPr>
        <w:t>，</w:t>
      </w:r>
      <w:r>
        <w:rPr>
          <w:rFonts w:hint="eastAsia" w:ascii="宋体" w:hAnsi="宋体"/>
          <w:color w:val="auto"/>
          <w:sz w:val="30"/>
          <w:highlight w:val="none"/>
        </w:rPr>
        <w:t>财产性判项未</w:t>
      </w:r>
      <w:r>
        <w:rPr>
          <w:rFonts w:hint="eastAsia" w:ascii="新宋体" w:hAnsi="新宋体" w:eastAsia="新宋体" w:cs="新宋体"/>
          <w:kern w:val="2"/>
          <w:sz w:val="30"/>
          <w:szCs w:val="30"/>
          <w:lang w:val="en-US" w:eastAsia="zh-CN" w:bidi="ar"/>
        </w:rPr>
        <w:t>全部履行</w:t>
      </w:r>
      <w:r>
        <w:rPr>
          <w:rFonts w:hint="eastAsia" w:ascii="宋体" w:hAnsi="宋体"/>
          <w:color w:val="auto"/>
          <w:sz w:val="30"/>
          <w:highlight w:val="none"/>
        </w:rPr>
        <w:t>，应当从严，故对其减刑幅度适当缩减。</w:t>
      </w:r>
    </w:p>
    <w:p>
      <w:pPr>
        <w:keepNext w:val="0"/>
        <w:keepLines w:val="0"/>
        <w:pageBreakBefore w:val="0"/>
        <w:widowControl w:val="0"/>
        <w:kinsoku/>
        <w:wordWrap/>
        <w:overflowPunct/>
        <w:topLinePunct w:val="0"/>
        <w:autoSpaceDE/>
        <w:autoSpaceDN/>
        <w:bidi w:val="0"/>
        <w:adjustRightInd/>
        <w:snapToGrid w:val="0"/>
        <w:spacing w:line="320" w:lineRule="exact"/>
        <w:ind w:right="0" w:rightChars="0" w:firstLine="600" w:firstLineChars="200"/>
        <w:textAlignment w:val="auto"/>
        <w:rPr>
          <w:rFonts w:hint="eastAsia" w:ascii="宋体" w:hAnsi="宋体"/>
          <w:color w:val="auto"/>
          <w:sz w:val="30"/>
          <w:highlight w:val="none"/>
        </w:rPr>
      </w:pPr>
      <w:r>
        <w:rPr>
          <w:rFonts w:hint="eastAsia" w:ascii="宋体" w:hAnsi="宋体"/>
          <w:color w:val="auto"/>
          <w:sz w:val="30"/>
          <w:highlight w:val="none"/>
        </w:rPr>
        <w:t>为此，根据《中华人民共和国刑事诉讼法》第二百七十三条第二款之规定，建议对罪犯龚金金减去有期徒刑七个月。</w:t>
      </w:r>
    </w:p>
    <w:p>
      <w:pPr>
        <w:pStyle w:val="2"/>
        <w:keepNext w:val="0"/>
        <w:keepLines w:val="0"/>
        <w:pageBreakBefore w:val="0"/>
        <w:widowControl w:val="0"/>
        <w:kinsoku/>
        <w:wordWrap/>
        <w:overflowPunct/>
        <w:topLinePunct w:val="0"/>
        <w:autoSpaceDE/>
        <w:autoSpaceDN/>
        <w:bidi w:val="0"/>
        <w:adjustRightInd/>
        <w:snapToGrid w:val="0"/>
        <w:spacing w:line="320" w:lineRule="exact"/>
        <w:ind w:right="0" w:rightChars="0"/>
        <w:textAlignment w:val="auto"/>
        <w:rPr>
          <w:rFonts w:hint="default"/>
          <w:color w:val="auto"/>
          <w:highlight w:val="none"/>
        </w:rPr>
      </w:pPr>
      <w:r>
        <w:rPr>
          <w:color w:val="auto"/>
          <w:highlight w:val="none"/>
        </w:rPr>
        <w:t>特提请审核裁定</w:t>
      </w:r>
    </w:p>
    <w:p>
      <w:pPr>
        <w:keepNext w:val="0"/>
        <w:keepLines w:val="0"/>
        <w:pageBreakBefore w:val="0"/>
        <w:widowControl w:val="0"/>
        <w:kinsoku/>
        <w:wordWrap/>
        <w:overflowPunct/>
        <w:topLinePunct w:val="0"/>
        <w:autoSpaceDE/>
        <w:autoSpaceDN/>
        <w:bidi w:val="0"/>
        <w:adjustRightInd/>
        <w:snapToGrid w:val="0"/>
        <w:spacing w:line="320" w:lineRule="exact"/>
        <w:ind w:right="0" w:rightChars="0" w:firstLine="600" w:firstLineChars="200"/>
        <w:textAlignment w:val="auto"/>
        <w:rPr>
          <w:color w:val="auto"/>
          <w:highlight w:val="none"/>
        </w:rPr>
      </w:pPr>
      <w:r>
        <w:rPr>
          <w:rFonts w:hint="eastAsia" w:ascii="宋体"/>
          <w:color w:val="auto"/>
          <w:sz w:val="30"/>
          <w:highlight w:val="none"/>
        </w:rPr>
        <w:t>此致</w:t>
      </w:r>
    </w:p>
    <w:p>
      <w:pPr>
        <w:keepNext w:val="0"/>
        <w:keepLines w:val="0"/>
        <w:pageBreakBefore w:val="0"/>
        <w:widowControl w:val="0"/>
        <w:kinsoku/>
        <w:wordWrap/>
        <w:overflowPunct/>
        <w:topLinePunct w:val="0"/>
        <w:autoSpaceDE/>
        <w:autoSpaceDN/>
        <w:bidi w:val="0"/>
        <w:adjustRightInd/>
        <w:snapToGrid w:val="0"/>
        <w:spacing w:line="320" w:lineRule="exact"/>
        <w:ind w:right="0" w:rightChars="0"/>
        <w:textAlignment w:val="auto"/>
        <w:rPr>
          <w:color w:val="auto"/>
          <w:highlight w:val="none"/>
        </w:rPr>
      </w:pPr>
      <w:r>
        <w:rPr>
          <w:color w:val="auto"/>
          <w:highlight w:val="none"/>
        </w:rPr>
        <w:t> </w:t>
      </w:r>
      <w:r>
        <w:rPr>
          <w:rFonts w:hint="eastAsia"/>
          <w:color w:val="auto"/>
          <w:sz w:val="30"/>
          <w:szCs w:val="30"/>
          <w:highlight w:val="none"/>
        </w:rPr>
        <w:t>江苏省</w:t>
      </w:r>
      <w:r>
        <w:rPr>
          <w:rFonts w:hint="eastAsia" w:ascii="宋体"/>
          <w:color w:val="auto"/>
          <w:sz w:val="30"/>
          <w:highlight w:val="none"/>
        </w:rPr>
        <w:t>无锡市中级人民法院</w:t>
      </w:r>
    </w:p>
    <w:p>
      <w:pPr>
        <w:snapToGrid w:val="0"/>
        <w:spacing w:line="460" w:lineRule="exact"/>
        <w:ind w:right="0" w:rightChars="0" w:firstLine="379"/>
        <w:jc w:val="right"/>
        <w:rPr>
          <w:rFonts w:hint="eastAsia" w:eastAsia="宋体"/>
          <w:bCs/>
          <w:color w:val="auto"/>
          <w:sz w:val="30"/>
          <w:highlight w:val="none"/>
          <w:lang w:eastAsia="zh-CN"/>
        </w:rPr>
        <w:sectPr>
          <w:pgSz w:w="11906" w:h="16838"/>
          <w:pgMar w:top="1440" w:right="1800" w:bottom="1440" w:left="1800" w:header="851" w:footer="992" w:gutter="0"/>
          <w:pgNumType w:start="1"/>
          <w:cols w:space="720" w:num="1"/>
          <w:rtlGutter w:val="0"/>
          <w:docGrid w:type="lines" w:linePitch="312" w:charSpace="0"/>
        </w:sectPr>
      </w:pPr>
      <w:r>
        <w:rPr>
          <w:color w:val="auto"/>
          <w:highlight w:val="none"/>
        </w:rPr>
        <w:t> </w:t>
      </w:r>
      <w:r>
        <w:rPr>
          <w:color w:val="auto"/>
          <w:highlight w:val="none"/>
        </w:rPr>
        <w:tab/>
      </w:r>
      <w:r>
        <w:rPr>
          <w:rFonts w:hint="eastAsia"/>
          <w:bCs/>
          <w:color w:val="auto"/>
          <w:sz w:val="30"/>
          <w:highlight w:val="none"/>
          <w:lang w:eastAsia="zh-CN"/>
        </w:rPr>
        <w:t>2024年9月18日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116ED0"/>
    <w:rsid w:val="32116E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Salutation"/>
    <w:basedOn w:val="1"/>
    <w:next w:val="1"/>
    <w:qFormat/>
    <w:uiPriority w:val="0"/>
    <w:rPr>
      <w:rFonts w:hint="eastAsia" w:ascii="宋体"/>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2024-09-26T01:30:00Z</dcterms:created>
  <dc:creator>ds-case06</dc:creator>
  <cp:lastModifiedBy>ds-case06</cp:lastModifiedBy>
  <dcterms:modified xsi:type="dcterms:W3CDTF">2024-09-26T01:31:11Z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