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641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 w:firstLine="687" w:firstLineChars="229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罪犯杨连天，男，1975年2月25日出生于南京市浦口区，汉族，初中文化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该犯曾因赌博，于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2011年12月26日被南京市公安局浦口分局罚款人民币500元。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 w:firstLine="538"/>
        <w:textAlignment w:val="auto"/>
        <w:outlineLvl w:val="9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江苏省南京市浦口区人民法院于</w:t>
      </w:r>
      <w:bookmarkStart w:id="0" w:name="_GoBack"/>
      <w:bookmarkEnd w:id="0"/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2019年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9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23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日作出(2019)</w:t>
      </w:r>
      <w:r>
        <w:rPr>
          <w:rFonts w:hint="eastAsia" w:ascii="新宋体" w:hAnsi="新宋体" w:eastAsia="新宋体"/>
          <w:sz w:val="30"/>
          <w:szCs w:val="30"/>
          <w:u w:val="none"/>
        </w:rPr>
        <w:t>苏0111刑初498号刑事判决，认定被告人杨连天犯诈骗罪，判处有期徒刑十一年，并处罚金人民币六十万元，责令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二被告连带</w:t>
      </w:r>
      <w:r>
        <w:rPr>
          <w:rFonts w:hint="eastAsia" w:ascii="新宋体" w:hAnsi="新宋体" w:eastAsia="新宋体"/>
          <w:sz w:val="30"/>
          <w:szCs w:val="30"/>
          <w:u w:val="none"/>
        </w:rPr>
        <w:t>退赔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被害人</w:t>
      </w:r>
      <w:r>
        <w:rPr>
          <w:rFonts w:hint="eastAsia" w:ascii="新宋体" w:hAnsi="新宋体" w:eastAsia="新宋体"/>
          <w:sz w:val="30"/>
          <w:szCs w:val="30"/>
          <w:u w:val="none"/>
        </w:rPr>
        <w:t>人民币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合计</w:t>
      </w:r>
      <w:r>
        <w:rPr>
          <w:rFonts w:hint="eastAsia" w:ascii="新宋体" w:hAnsi="新宋体" w:eastAsia="新宋体"/>
          <w:sz w:val="30"/>
          <w:szCs w:val="30"/>
          <w:u w:val="none"/>
        </w:rPr>
        <w:t>二百一十二万元。该犯不服，提出上诉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  <w:u w:val="none"/>
        </w:rPr>
        <w:t>江苏省南京市中级人民法院于2020年1月19日作出（2019）苏01刑终955号刑事裁定，驳回上诉，维持原判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  <w:u w:val="none"/>
        </w:rPr>
        <w:t>刑期自2018年9月8日起至2029年9月7日止。判决发生法律效力后，2020年6月23日交付执行。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right="-506" w:rightChars="-241" w:firstLine="675" w:firstLineChars="225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罪犯杨连天，在服刑期间能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  <w:u w:val="none"/>
        </w:rPr>
        <w:t>2021年4月、2021年10月、2022年3月、2022年9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月、2023年2月、2023年7月、2023年12月、2024年5月受到表扬八次，确有悔改表现。判处罚金人民币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60万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责令共同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连带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退赔人民币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212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万元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共计已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履行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人民币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2287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元。有江苏省南京市浦口区人民法院出具的执行裁定书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份（案号：2020苏0111执1143号）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有网上银行电子回单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张（编号：</w:t>
      </w:r>
      <w:r>
        <w:rPr>
          <w:rFonts w:ascii="新宋体" w:hAnsi="新宋体" w:eastAsia="新宋体"/>
          <w:color w:val="000000"/>
          <w:sz w:val="30"/>
          <w:szCs w:val="30"/>
          <w:u w:val="none"/>
        </w:rPr>
        <w:t>32417379351154796204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）。罪犯杨连天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财产性判项未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全部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履行，应当从严,故对其减刑幅度适当缩减。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right="-506" w:rightChars="-241" w:firstLine="600" w:firstLineChars="200"/>
        <w:textAlignment w:val="auto"/>
        <w:outlineLvl w:val="9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为此，根据《中华人民共和国刑事诉讼法》第二百七十三条第二款之规定，建议对罪犯杨连天减去有期徒刑七个月。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/>
        <w:textAlignment w:val="auto"/>
        <w:outlineLvl w:val="9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 w:firstLine="600" w:firstLineChars="200"/>
        <w:jc w:val="left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/>
        <w:textAlignment w:val="auto"/>
        <w:outlineLvl w:val="9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0170C"/>
    <w:rsid w:val="0610170C"/>
    <w:rsid w:val="08A95342"/>
    <w:rsid w:val="5AE4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2024-09-24T11:51:00Z</dcterms:created>
  <dc:creator>王继禄(wjl)</dc:creator>
  <cp:lastModifiedBy>王继禄(wjl)</cp:lastModifiedBy>
  <dcterms:modified xsi:type="dcterms:W3CDTF">2024-09-24T11:59:06Z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