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4"/>
        </w:tabs>
        <w:snapToGrid w:val="0"/>
        <w:spacing w:line="600" w:lineRule="exact"/>
        <w:ind w:right="-527"/>
        <w:jc w:val="center"/>
        <w:rPr>
          <w:rFonts w:hint="eastAsia" w:ascii="新宋体" w:hAnsi="新宋体" w:eastAsia="新宋体"/>
          <w:b/>
          <w:sz w:val="48"/>
          <w:szCs w:val="48"/>
        </w:rPr>
      </w:pPr>
      <w:r>
        <w:rPr>
          <w:rFonts w:hint="eastAsia" w:ascii="新宋体" w:hAnsi="新宋体" w:eastAsia="新宋体"/>
          <w:b/>
          <w:sz w:val="48"/>
          <w:szCs w:val="48"/>
        </w:rPr>
        <w:t>江苏省丁山监狱提请减刑建议书</w:t>
      </w:r>
    </w:p>
    <w:p>
      <w:pPr>
        <w:tabs>
          <w:tab w:val="left" w:pos="5054"/>
        </w:tabs>
        <w:snapToGrid w:val="0"/>
        <w:spacing w:line="300" w:lineRule="exact"/>
        <w:ind w:right="-527"/>
        <w:jc w:val="center"/>
        <w:rPr>
          <w:rFonts w:hint="eastAsia" w:ascii="新宋体" w:hAnsi="新宋体" w:eastAsia="新宋体"/>
          <w:b/>
          <w:sz w:val="28"/>
          <w:szCs w:val="28"/>
        </w:rPr>
      </w:pPr>
    </w:p>
    <w:p>
      <w:pPr>
        <w:tabs>
          <w:tab w:val="left" w:pos="5054"/>
        </w:tabs>
        <w:snapToGrid w:val="0"/>
        <w:spacing w:line="560" w:lineRule="exact"/>
        <w:ind w:right="-527"/>
        <w:jc w:val="right"/>
        <w:rPr>
          <w:rFonts w:hint="eastAsia" w:ascii="新宋体" w:hAnsi="新宋体" w:eastAsia="新宋体"/>
          <w:sz w:val="30"/>
          <w:szCs w:val="30"/>
        </w:rPr>
      </w:pPr>
      <w:r>
        <w:rPr>
          <w:rFonts w:hint="eastAsia" w:ascii="新宋体" w:hAnsi="新宋体" w:eastAsia="新宋体"/>
          <w:sz w:val="30"/>
          <w:szCs w:val="30"/>
        </w:rPr>
        <w:t>（2024）苏丁狱减建字第</w:t>
      </w:r>
      <w:r>
        <w:rPr>
          <w:rFonts w:hint="eastAsia" w:ascii="新宋体" w:hAnsi="新宋体" w:eastAsia="新宋体"/>
          <w:sz w:val="30"/>
          <w:szCs w:val="30"/>
          <w:lang w:val="en-US" w:eastAsia="zh-CN"/>
        </w:rPr>
        <w:t>516</w:t>
      </w:r>
      <w:r>
        <w:rPr>
          <w:rFonts w:hint="eastAsia" w:ascii="新宋体" w:hAnsi="新宋体" w:eastAsia="新宋体"/>
          <w:sz w:val="30"/>
          <w:szCs w:val="30"/>
        </w:rPr>
        <w:t>号</w:t>
      </w:r>
    </w:p>
    <w:p>
      <w:pPr>
        <w:tabs>
          <w:tab w:val="left" w:pos="5054"/>
        </w:tabs>
        <w:snapToGrid w:val="0"/>
        <w:spacing w:line="46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罪犯陈帅帅，男，1991年5月18日生，公民身份号码</w:t>
      </w:r>
      <w:r>
        <w:rPr>
          <w:rFonts w:ascii="新宋体" w:hAnsi="新宋体" w:eastAsia="新宋体"/>
          <w:sz w:val="30"/>
          <w:szCs w:val="30"/>
        </w:rPr>
        <w:t>340323199105180491</w:t>
      </w:r>
      <w:r>
        <w:rPr>
          <w:rFonts w:hint="eastAsia" w:ascii="新宋体" w:hAnsi="新宋体" w:eastAsia="新宋体"/>
          <w:sz w:val="30"/>
          <w:szCs w:val="30"/>
        </w:rPr>
        <w:t>，汉族，初中文化，原住安徽省固镇县城关镇五里井村七里庄67号。现服刑于江苏省丁山监狱。</w:t>
      </w:r>
    </w:p>
    <w:p>
      <w:pPr>
        <w:tabs>
          <w:tab w:val="left" w:pos="5054"/>
        </w:tabs>
        <w:snapToGrid w:val="0"/>
        <w:spacing w:line="460" w:lineRule="exact"/>
        <w:ind w:right="-527" w:firstLine="600" w:firstLineChars="200"/>
        <w:rPr>
          <w:rFonts w:hint="eastAsia" w:ascii="新宋体" w:hAnsi="新宋体" w:eastAsia="新宋体"/>
          <w:sz w:val="30"/>
          <w:szCs w:val="30"/>
        </w:rPr>
      </w:pPr>
      <w:r>
        <w:rPr>
          <w:rFonts w:hint="eastAsia" w:ascii="新宋体" w:hAnsi="新宋体" w:eastAsia="新宋体"/>
          <w:sz w:val="30"/>
          <w:szCs w:val="30"/>
        </w:rPr>
        <w:t>江苏省太仓市人民法院于2020年11月10日作出（2020）苏0585刑初666号刑事判决，认定被告人陈帅帅犯盗窃罪，判处有期徒刑五年三个月，并处罚金人民币二万元，暂扣于太仓市公安局的废紫铜2024.5公斤，价值人民币80980元，发还被害单位；责令各被告人共同退出赃款人民币235842.6元。刑期自2020年5月14日起至2025年8月13日止。判决发生法律效力后，2021年1月15日交付执行。</w:t>
      </w:r>
    </w:p>
    <w:p>
      <w:pPr>
        <w:pStyle w:val="4"/>
        <w:spacing w:line="460" w:lineRule="exact"/>
        <w:ind w:right="-506" w:rightChars="-241" w:firstLine="600" w:firstLineChars="200"/>
        <w:rPr>
          <w:rFonts w:hint="eastAsia" w:ascii="新宋体" w:hAnsi="新宋体" w:eastAsia="新宋体"/>
          <w:sz w:val="30"/>
          <w:szCs w:val="30"/>
        </w:rPr>
      </w:pPr>
      <w:r>
        <w:rPr>
          <w:rFonts w:hint="eastAsia" w:ascii="新宋体" w:hAnsi="新宋体" w:eastAsia="新宋体"/>
          <w:sz w:val="30"/>
          <w:szCs w:val="30"/>
        </w:rPr>
        <w:t>罪犯陈帅帅，在服刑期间能</w:t>
      </w:r>
      <w:r>
        <w:rPr>
          <w:rFonts w:hint="eastAsia" w:ascii="新宋体" w:hAnsi="新宋体" w:eastAsia="新宋体" w:cs="宋体"/>
          <w:sz w:val="30"/>
          <w:szCs w:val="30"/>
        </w:rPr>
        <w:t>认罪悔罪；认真遵守法律法规及监规，接受教育改造；积极参加思想、文化、职业技术教育；积极参加劳动，努力完成劳动任务。</w:t>
      </w:r>
      <w:r>
        <w:rPr>
          <w:rFonts w:hint="eastAsia" w:ascii="新宋体" w:hAnsi="新宋体" w:eastAsia="新宋体"/>
          <w:sz w:val="30"/>
          <w:szCs w:val="30"/>
        </w:rPr>
        <w:t>2021年10月、2022年3月、2022年9月、2023年2月、2023年8月、2024年1月、2024年7月受到表扬七次，确有悔改表现。判处罚金人民币二万元、责令各被告人共同退出赃款人民币235842.6元已由同案犯履行了22000元，有同案犯通过江苏省丁山监狱向太仓市人民法院汇款的网上银行电子回单1份和江苏省太仓市人民法院出具的（2021）苏0585执569号执行裁定书1份。罪犯陈帅帅，财产性判项未全部履行，应当从严,故对其减刑幅度适当缩减。</w:t>
      </w:r>
    </w:p>
    <w:p>
      <w:pPr>
        <w:pStyle w:val="4"/>
        <w:tabs>
          <w:tab w:val="left" w:pos="5054"/>
        </w:tabs>
        <w:spacing w:line="460" w:lineRule="exact"/>
        <w:ind w:right="-506" w:rightChars="-241" w:firstLine="600" w:firstLineChars="200"/>
        <w:rPr>
          <w:rFonts w:hint="eastAsia" w:ascii="新宋体" w:hAnsi="新宋体" w:eastAsia="新宋体"/>
          <w:sz w:val="30"/>
          <w:szCs w:val="30"/>
        </w:rPr>
      </w:pPr>
      <w:r>
        <w:rPr>
          <w:rFonts w:hint="eastAsia" w:ascii="新宋体" w:hAnsi="新宋体" w:eastAsia="新宋体"/>
          <w:sz w:val="30"/>
          <w:szCs w:val="30"/>
        </w:rPr>
        <w:t>为此，根据《中华人民共和国刑事诉讼法》第二百七十三条第二款之规定，建议对罪犯陈帅帅减去有期徒刑七个月。</w:t>
      </w:r>
    </w:p>
    <w:p>
      <w:pPr>
        <w:pStyle w:val="3"/>
        <w:tabs>
          <w:tab w:val="left" w:pos="5054"/>
        </w:tabs>
        <w:snapToGrid w:val="0"/>
        <w:spacing w:line="460" w:lineRule="exact"/>
        <w:ind w:right="-527"/>
        <w:rPr>
          <w:rFonts w:ascii="新宋体" w:hAnsi="新宋体" w:eastAsia="新宋体"/>
          <w:sz w:val="30"/>
          <w:szCs w:val="30"/>
        </w:rPr>
      </w:pPr>
      <w:r>
        <w:rPr>
          <w:rFonts w:ascii="新宋体" w:hAnsi="新宋体" w:eastAsia="新宋体"/>
          <w:sz w:val="30"/>
          <w:szCs w:val="30"/>
        </w:rPr>
        <w:t>特提请审核裁定</w:t>
      </w:r>
    </w:p>
    <w:p>
      <w:pPr>
        <w:tabs>
          <w:tab w:val="left" w:pos="5054"/>
        </w:tabs>
        <w:snapToGrid w:val="0"/>
        <w:spacing w:line="460" w:lineRule="exact"/>
        <w:ind w:right="-527" w:firstLine="600" w:firstLineChars="200"/>
        <w:jc w:val="left"/>
        <w:rPr>
          <w:rFonts w:hint="eastAsia" w:ascii="新宋体" w:hAnsi="新宋体" w:eastAsia="新宋体"/>
          <w:sz w:val="30"/>
          <w:szCs w:val="30"/>
        </w:rPr>
      </w:pPr>
      <w:r>
        <w:rPr>
          <w:rFonts w:hint="eastAsia" w:ascii="新宋体" w:hAnsi="新宋体" w:eastAsia="新宋体"/>
          <w:sz w:val="30"/>
          <w:szCs w:val="30"/>
        </w:rPr>
        <w:t>此致</w:t>
      </w:r>
    </w:p>
    <w:p>
      <w:pPr>
        <w:tabs>
          <w:tab w:val="left" w:pos="5054"/>
        </w:tabs>
        <w:snapToGrid w:val="0"/>
        <w:spacing w:line="460" w:lineRule="exact"/>
        <w:ind w:right="-527"/>
        <w:rPr>
          <w:rFonts w:hint="eastAsia" w:ascii="新宋体" w:hAnsi="新宋体" w:eastAsia="新宋体"/>
          <w:sz w:val="30"/>
          <w:szCs w:val="30"/>
        </w:rPr>
      </w:pPr>
      <w:r>
        <w:rPr>
          <w:rFonts w:hint="eastAsia" w:ascii="新宋体" w:hAnsi="新宋体" w:eastAsia="新宋体"/>
          <w:sz w:val="30"/>
          <w:szCs w:val="30"/>
        </w:rPr>
        <w:t>江苏省无锡市中级人民法院</w:t>
      </w:r>
    </w:p>
    <w:p>
      <w:pPr>
        <w:tabs>
          <w:tab w:val="left" w:pos="5054"/>
        </w:tabs>
        <w:snapToGrid w:val="0"/>
        <w:spacing w:line="460" w:lineRule="exact"/>
        <w:ind w:right="-77"/>
        <w:jc w:val="right"/>
        <w:rPr>
          <w:rFonts w:hint="eastAsia" w:ascii="新宋体" w:hAnsi="新宋体" w:eastAsia="新宋体"/>
          <w:bCs/>
          <w:sz w:val="30"/>
          <w:szCs w:val="30"/>
          <w:lang w:eastAsia="zh-CN"/>
        </w:rPr>
      </w:pPr>
      <w:r>
        <w:rPr>
          <w:rFonts w:hint="eastAsia" w:ascii="新宋体" w:hAnsi="新宋体" w:eastAsia="新宋体"/>
          <w:bCs/>
          <w:sz w:val="30"/>
          <w:szCs w:val="30"/>
          <w:lang w:eastAsia="zh-CN"/>
        </w:rPr>
        <w:t>2024年9月18日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02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semiHidden/>
    <w:uiPriority w:val="0"/>
    <w:pPr>
      <w:ind w:left="800" w:leftChars="800"/>
    </w:pPr>
  </w:style>
  <w:style w:type="paragraph" w:styleId="3">
    <w:name w:val="Salutation"/>
    <w:basedOn w:val="1"/>
    <w:next w:val="1"/>
    <w:uiPriority w:val="0"/>
    <w:rPr>
      <w:rFonts w:hint="eastAsia" w:ascii="宋体"/>
      <w:sz w:val="32"/>
      <w:szCs w:val="20"/>
    </w:rPr>
  </w:style>
  <w:style w:type="paragraph" w:styleId="4">
    <w:name w:val="Plain Text"/>
    <w:next w:val="2"/>
    <w:uiPriority w:val="0"/>
    <w:pPr>
      <w:widowControl w:val="0"/>
      <w:jc w:val="both"/>
    </w:pPr>
    <w:rPr>
      <w:rFonts w:ascii="宋体" w:hAnsi="Times New Roman"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2024-09-25T13:18:38Z</dcterms:created>
  <dc:creator>Administrator</dc:creator>
  <cp:lastModifiedBy>李松柏(lsb)</cp:lastModifiedBy>
  <dcterms:modified xsi:type="dcterms:W3CDTF">2024-09-25T13:18:39Z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