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C2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附件三</w:t>
      </w:r>
    </w:p>
    <w:p w14:paraId="2BF501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申请书</w:t>
      </w:r>
    </w:p>
    <w:p w14:paraId="43B3F0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申请书内容及要求</w:t>
      </w:r>
    </w:p>
    <w:p w14:paraId="2223DD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 竞聘机构应准备好申报资料（一式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份），装订成册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并加盖公章，待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-US" w:eastAsia="zh-CN"/>
        </w:rPr>
        <w:t>提交电子版确认后经通知向我院环资庭报送。</w:t>
      </w:r>
    </w:p>
    <w:p w14:paraId="256BD9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申报资料应包括以下内容：</w:t>
      </w:r>
    </w:p>
    <w:p w14:paraId="45BCFA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75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.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申报机构的基本情况，包括申报机构成立时间、规模、编入人民法院管理人名册证明材料，并提交拟委派参与本案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团队负责人及团队成员情况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简要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介绍；</w:t>
      </w:r>
    </w:p>
    <w:p w14:paraId="6292FF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75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2.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申报机构须确保所提交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的上述资料均真实、合法，提交承诺书，如经核查发现存在虚假及违法情形，该机构将不得再担任本案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，并将被列入本院管理人黑名单。 </w:t>
      </w:r>
    </w:p>
    <w:p w14:paraId="21720EC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64CED05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2EAFD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540D8"/>
    <w:rsid w:val="3BD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2024-12-26T08:02:00Z</dcterms:created>
  <dc:creator>蒋应娟</dc:creator>
  <cp:lastModifiedBy>蒋应娟</cp:lastModifiedBy>
  <dcterms:modified xsi:type="dcterms:W3CDTF">2024-12-26T08:02:56Z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D689991FB4F243DEBC6E20A36BEF5987_11</vt:lpwstr>
  </property>
</Properties>
</file>