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1-92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罪犯侯白义，男，1965年8月13日出生，汉族，户籍所在地山西省代县，身份证号码1</w:t>
      </w:r>
      <w:r>
        <w:rPr>
          <w:rFonts w:ascii="仿宋" w:hAnsi="仿宋" w:eastAsia="仿宋" w:cs="Times New Roman"/>
          <w:sz w:val="30"/>
          <w:szCs w:val="30"/>
        </w:rPr>
        <w:t>42225196508134519</w:t>
      </w:r>
      <w:r>
        <w:rPr>
          <w:rFonts w:hint="eastAsia" w:ascii="仿宋" w:hAnsi="仿宋" w:eastAsia="仿宋" w:cs="Times New Roman"/>
          <w:sz w:val="30"/>
          <w:szCs w:val="30"/>
        </w:rPr>
        <w:t>，捕前住山西省代县新高乡新高村，因犯故意杀人罪经山西省忻州市中级人民法院以（2010）忻中刑初字第78号刑事判决书于2011年1月27日判处无期徒刑，剥夺政治权利终身。宣判后，本案在法定期限内没有上诉、抗诉。刑期自2011年2月7日起至/年/月/日止。判决生效后，于2011年3月7日交付汾阳监狱执行。该犯属于严重暴力犯罪的罪犯。服刑期间执行刑期变动情况：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2013年7月10日减为有期19年，剥夺政治权利9年；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2015年12月3日减刑1年10个月；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2018年6月12日减刑8个月；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30"/>
        </w:rPr>
        <w:t>2022年1月19日减刑8个月(刑期至2029年5月9日止)。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能够遵守法律法规及监规，接受教育改造。能够熟记《监狱服刑人员行为规范》，按照规范要求约束自己的行为，养成良好的行为习惯，考核期内无违规违纪行为。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9</w:t>
      </w:r>
      <w:r>
        <w:rPr>
          <w:rFonts w:hint="eastAsia" w:ascii="仿宋" w:hAnsi="仿宋" w:eastAsia="仿宋" w:cs="仿宋_GB2312"/>
          <w:sz w:val="30"/>
          <w:szCs w:val="30"/>
        </w:rPr>
        <w:t>0分以上。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能够在夜巡犯、杂务犯等改造岗位参加劳动，努力完成劳动任务。劳动中能够遵守劳动纪律，工作质量达到监狱要求，平均出勤率为9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27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12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23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  <w:r>
        <w:rPr>
          <w:rFonts w:ascii="仿宋" w:hAnsi="仿宋" w:eastAsia="仿宋" w:cs="仿宋_GB2312"/>
          <w:sz w:val="30"/>
          <w:szCs w:val="30"/>
        </w:rPr>
        <w:t xml:space="preserve"> 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十条、《中华人民共和国刑法》第七十八条第一款、《中华人民共和国刑事诉讼法》第二百七十三条第二款的规定，建议对罪犯侯白义予以减刑七个月，剥夺政治权利减为八年。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附件：罪犯侯白义卷宗材料      卷共     页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096365"/>
    <w:rsid w:val="001D4D8A"/>
    <w:rsid w:val="002324CA"/>
    <w:rsid w:val="00234261"/>
    <w:rsid w:val="00245DFE"/>
    <w:rsid w:val="002602A9"/>
    <w:rsid w:val="002748A7"/>
    <w:rsid w:val="002F0910"/>
    <w:rsid w:val="00347654"/>
    <w:rsid w:val="00364C37"/>
    <w:rsid w:val="003838AB"/>
    <w:rsid w:val="004244D4"/>
    <w:rsid w:val="00472222"/>
    <w:rsid w:val="004C3FDC"/>
    <w:rsid w:val="0050270F"/>
    <w:rsid w:val="005A4E3E"/>
    <w:rsid w:val="005D7D6E"/>
    <w:rsid w:val="006029AB"/>
    <w:rsid w:val="00607E26"/>
    <w:rsid w:val="006535D7"/>
    <w:rsid w:val="007702F0"/>
    <w:rsid w:val="007C374A"/>
    <w:rsid w:val="00813BDB"/>
    <w:rsid w:val="008D3AE2"/>
    <w:rsid w:val="008E5B8D"/>
    <w:rsid w:val="00957430"/>
    <w:rsid w:val="0097053D"/>
    <w:rsid w:val="009A1895"/>
    <w:rsid w:val="009B5B89"/>
    <w:rsid w:val="009F7C8C"/>
    <w:rsid w:val="00AE462B"/>
    <w:rsid w:val="00B51B80"/>
    <w:rsid w:val="00DA046E"/>
    <w:rsid w:val="00DC3050"/>
    <w:rsid w:val="00DD2F00"/>
    <w:rsid w:val="00DF033A"/>
    <w:rsid w:val="00E006D8"/>
    <w:rsid w:val="00E26488"/>
    <w:rsid w:val="00E32D38"/>
    <w:rsid w:val="00E95345"/>
    <w:rsid w:val="00EC0237"/>
    <w:rsid w:val="00FE2B37"/>
    <w:rsid w:val="57CA6E5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154</Words>
  <Characters>881</Characters>
  <Lines>7</Lines>
  <Paragraphs>2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cp:lastPrinted>2024-10-17T02:05:00Z</cp:lastPrinted>
  <dcterms:modified xsi:type="dcterms:W3CDTF">2024-12-06T00:21:17Z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