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9B9DF">
      <w:pPr>
        <w:spacing w:line="580" w:lineRule="exact"/>
        <w:rPr>
          <w:rFonts w:ascii="仿宋" w:hAnsi="仿宋" w:eastAsia="仿宋"/>
          <w:sz w:val="30"/>
          <w:szCs w:val="30"/>
        </w:rPr>
      </w:pPr>
      <w:r>
        <w:rPr>
          <w:rFonts w:hint="eastAsia" w:ascii="仿宋" w:hAnsi="仿宋" w:eastAsia="仿宋" w:cs="仿宋"/>
          <w:sz w:val="32"/>
          <w:szCs w:val="40"/>
        </w:rPr>
        <w:t>附件1</w:t>
      </w:r>
    </w:p>
    <w:p w14:paraId="63EBC149">
      <w:pPr>
        <w:ind w:firstLine="0" w:firstLineChars="0"/>
        <w:jc w:val="center"/>
        <w:rPr>
          <w:rFonts w:hint="eastAsia" w:ascii="方正小标宋简体" w:hAnsi="宋体" w:eastAsia="方正小标宋简体" w:cs="华文仿宋"/>
          <w:b/>
          <w:bCs/>
          <w:sz w:val="36"/>
          <w:szCs w:val="36"/>
        </w:rPr>
      </w:pPr>
    </w:p>
    <w:p w14:paraId="153DAEDD">
      <w:pPr>
        <w:ind w:firstLine="0" w:firstLineChars="0"/>
        <w:jc w:val="center"/>
        <w:rPr>
          <w:rFonts w:hint="eastAsia" w:ascii="方正小标宋简体" w:hAnsi="宋体" w:eastAsia="方正小标宋简体" w:cs="华文仿宋"/>
          <w:b/>
          <w:bCs/>
          <w:sz w:val="36"/>
          <w:szCs w:val="36"/>
        </w:rPr>
      </w:pPr>
      <w:bookmarkStart w:id="3" w:name="_GoBack"/>
      <w:r>
        <w:rPr>
          <w:rFonts w:hint="eastAsia" w:ascii="方正小标宋简体" w:hAnsi="宋体" w:eastAsia="方正小标宋简体" w:cs="华文仿宋"/>
          <w:b/>
          <w:bCs/>
          <w:sz w:val="36"/>
          <w:szCs w:val="36"/>
        </w:rPr>
        <w:t>202</w:t>
      </w:r>
      <w:r>
        <w:rPr>
          <w:rFonts w:hint="eastAsia" w:ascii="方正小标宋简体" w:hAnsi="宋体" w:eastAsia="方正小标宋简体" w:cs="华文仿宋"/>
          <w:b/>
          <w:bCs/>
          <w:sz w:val="36"/>
          <w:szCs w:val="36"/>
          <w:lang w:val="en-US" w:eastAsia="zh-CN"/>
        </w:rPr>
        <w:t>5</w:t>
      </w:r>
      <w:r>
        <w:rPr>
          <w:rFonts w:hint="eastAsia" w:ascii="方正小标宋简体" w:hAnsi="宋体" w:eastAsia="方正小标宋简体" w:cs="华文仿宋"/>
          <w:b/>
          <w:bCs/>
          <w:sz w:val="36"/>
          <w:szCs w:val="36"/>
        </w:rPr>
        <w:t>年国家法官学院与澳门大学法学院</w:t>
      </w:r>
    </w:p>
    <w:p w14:paraId="7C029B98">
      <w:pPr>
        <w:ind w:firstLine="0" w:firstLineChars="0"/>
        <w:jc w:val="center"/>
        <w:rPr>
          <w:rFonts w:hint="eastAsia" w:ascii="方正小标宋简体" w:hAnsi="宋体" w:eastAsia="方正小标宋简体" w:cs="华文仿宋"/>
          <w:b/>
          <w:bCs/>
          <w:sz w:val="36"/>
          <w:szCs w:val="36"/>
        </w:rPr>
      </w:pPr>
      <w:r>
        <w:rPr>
          <w:rFonts w:hint="eastAsia" w:ascii="方正小标宋简体" w:hAnsi="宋体" w:eastAsia="方正小标宋简体" w:cs="华文仿宋"/>
          <w:b/>
          <w:bCs/>
          <w:sz w:val="36"/>
          <w:szCs w:val="36"/>
        </w:rPr>
        <w:t>合作培养哲学博士（法学）招生简章</w:t>
      </w:r>
    </w:p>
    <w:bookmarkEnd w:id="3"/>
    <w:p w14:paraId="05EB3DD0">
      <w:pPr>
        <w:spacing w:line="580" w:lineRule="exact"/>
        <w:ind w:firstLine="720" w:firstLineChars="200"/>
        <w:jc w:val="center"/>
        <w:rPr>
          <w:rFonts w:ascii="黑体" w:hAnsi="华文仿宋" w:eastAsia="黑体"/>
          <w:sz w:val="36"/>
          <w:szCs w:val="36"/>
        </w:rPr>
      </w:pPr>
    </w:p>
    <w:p w14:paraId="1D83FEDE">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经最高人民法院和</w:t>
      </w:r>
      <w:r>
        <w:rPr>
          <w:rFonts w:hint="eastAsia" w:ascii="仿宋" w:hAnsi="仿宋" w:eastAsia="仿宋" w:cs="仿宋"/>
          <w:sz w:val="32"/>
          <w:szCs w:val="32"/>
          <w:lang w:val="en-US" w:eastAsia="zh-CN"/>
        </w:rPr>
        <w:t>中央</w:t>
      </w:r>
      <w:r>
        <w:rPr>
          <w:rFonts w:hint="eastAsia" w:ascii="仿宋" w:hAnsi="仿宋" w:eastAsia="仿宋" w:cs="仿宋"/>
          <w:sz w:val="32"/>
          <w:szCs w:val="32"/>
        </w:rPr>
        <w:t>港澳办批准，2025年国家法官学院与</w:t>
      </w:r>
      <w:bookmarkStart w:id="0" w:name="_Hlk92386283"/>
      <w:r>
        <w:rPr>
          <w:rFonts w:hint="eastAsia" w:ascii="仿宋" w:hAnsi="仿宋" w:eastAsia="仿宋" w:cs="仿宋"/>
          <w:sz w:val="32"/>
          <w:szCs w:val="32"/>
        </w:rPr>
        <w:t>澳</w:t>
      </w:r>
      <w:bookmarkEnd w:id="0"/>
      <w:r>
        <w:rPr>
          <w:rFonts w:hint="eastAsia" w:ascii="仿宋" w:hAnsi="仿宋" w:eastAsia="仿宋" w:cs="仿宋"/>
          <w:sz w:val="32"/>
          <w:szCs w:val="32"/>
        </w:rPr>
        <w:t>门大学法学院（以下简称“澳大法学院”）继续合作招收培养哲学博士（法学）研究生。招生人数5名左右，学制四年，最长不超过六年。</w:t>
      </w:r>
    </w:p>
    <w:p w14:paraId="043AD7AB">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一、培养目标</w:t>
      </w:r>
    </w:p>
    <w:p w14:paraId="31960DB4">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通过与澳大法学院合作培养哲学博士（法学）研究生，加强内地法院与澳门司法界的交流，</w:t>
      </w:r>
      <w:r>
        <w:rPr>
          <w:rFonts w:hint="eastAsia" w:ascii="仿宋" w:hAnsi="仿宋" w:eastAsia="仿宋" w:cs="仿宋"/>
          <w:sz w:val="32"/>
          <w:szCs w:val="40"/>
        </w:rPr>
        <w:t>培养一批</w:t>
      </w:r>
      <w:r>
        <w:rPr>
          <w:rFonts w:hint="eastAsia" w:ascii="仿宋" w:hAnsi="仿宋" w:eastAsia="仿宋" w:cs="仿宋"/>
          <w:i w:val="0"/>
          <w:iCs w:val="0"/>
          <w:caps w:val="0"/>
          <w:color w:val="auto"/>
          <w:spacing w:val="0"/>
          <w:sz w:val="32"/>
          <w:szCs w:val="40"/>
          <w:shd w:val="clear" w:color="auto" w:fill="auto"/>
        </w:rPr>
        <w:t>政治素质、业务素质和职业道德素质</w:t>
      </w:r>
      <w:r>
        <w:rPr>
          <w:rFonts w:hint="eastAsia" w:ascii="仿宋" w:hAnsi="仿宋" w:eastAsia="仿宋" w:cs="仿宋"/>
          <w:i w:val="0"/>
          <w:iCs w:val="0"/>
          <w:caps w:val="0"/>
          <w:spacing w:val="0"/>
          <w:sz w:val="32"/>
          <w:szCs w:val="40"/>
          <w:shd w:val="clear" w:color="auto" w:fill="auto"/>
          <w:lang w:val="en-US" w:eastAsia="zh-CN"/>
        </w:rPr>
        <w:t>过硬</w:t>
      </w:r>
      <w:r>
        <w:rPr>
          <w:rFonts w:hint="eastAsia" w:ascii="仿宋" w:hAnsi="仿宋" w:eastAsia="仿宋" w:cs="仿宋"/>
          <w:sz w:val="32"/>
          <w:szCs w:val="40"/>
        </w:rPr>
        <w:t>，精通英语，熟悉涉外、涉港澳法律知识和审判实务的高层次、复合型审判人才</w:t>
      </w:r>
      <w:r>
        <w:rPr>
          <w:rFonts w:hint="eastAsia" w:ascii="仿宋" w:hAnsi="仿宋" w:eastAsia="仿宋" w:cs="仿宋"/>
          <w:sz w:val="32"/>
          <w:szCs w:val="32"/>
        </w:rPr>
        <w:t>。</w:t>
      </w:r>
    </w:p>
    <w:p w14:paraId="6CA5816C">
      <w:pPr>
        <w:spacing w:line="58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二、招生对象及条件</w:t>
      </w:r>
    </w:p>
    <w:p w14:paraId="66DF5D3B">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1.申请人须经本单位人事部门及单位所在地区高级人民法院政治部推荐。</w:t>
      </w:r>
    </w:p>
    <w:p w14:paraId="221BC257">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2.申请人必须已经获得为</w:t>
      </w:r>
      <w:bookmarkStart w:id="1" w:name="_Hlk92388812"/>
      <w:r>
        <w:rPr>
          <w:rFonts w:hint="eastAsia" w:ascii="仿宋" w:hAnsi="仿宋" w:eastAsia="仿宋" w:cs="仿宋"/>
          <w:sz w:val="32"/>
          <w:szCs w:val="32"/>
        </w:rPr>
        <w:t>澳</w:t>
      </w:r>
      <w:bookmarkEnd w:id="1"/>
      <w:r>
        <w:rPr>
          <w:rFonts w:hint="eastAsia" w:ascii="仿宋" w:hAnsi="仿宋" w:eastAsia="仿宋" w:cs="仿宋"/>
          <w:sz w:val="32"/>
          <w:szCs w:val="32"/>
        </w:rPr>
        <w:t xml:space="preserve">大法学院所认可大学的法学硕士、法律硕士或其它相关专业相关学位及学历，具体由澳大法学院负责解释与决定。 </w:t>
      </w:r>
    </w:p>
    <w:p w14:paraId="6BE87C33">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请人是具有相当学术潜力和良好培养前途的优秀高级法官（四级高级法官及以上）。不属于高级法官的以下三类人员也可报考：1）在法院担任相当于副处级实职以上且原属于员额制高级法官，但因担任法院综合行政岗位领导职务而暂时退出员额法官序列5年以内者； 2）在法院系统内（含国家法官学院）担任相当于副处级实职以上且从事教学、研究工作；3）</w:t>
      </w:r>
      <w:r>
        <w:rPr>
          <w:rFonts w:hint="eastAsia" w:ascii="仿宋" w:hAnsi="仿宋" w:eastAsia="仿宋" w:cs="仿宋"/>
          <w:sz w:val="32"/>
          <w:szCs w:val="32"/>
          <w:lang w:val="en-US" w:eastAsia="zh-CN"/>
        </w:rPr>
        <w:t>具有较高学术潜力，从事涉港澳审判及国际民商事审判工作的一级法官，每年</w:t>
      </w:r>
      <w:r>
        <w:rPr>
          <w:rFonts w:hint="eastAsia" w:ascii="仿宋" w:hAnsi="仿宋" w:eastAsia="仿宋" w:cs="仿宋"/>
          <w:sz w:val="32"/>
          <w:szCs w:val="32"/>
        </w:rPr>
        <w:t>录取</w:t>
      </w:r>
      <w:r>
        <w:rPr>
          <w:rFonts w:hint="eastAsia" w:ascii="仿宋" w:hAnsi="仿宋" w:eastAsia="仿宋" w:cs="仿宋"/>
          <w:sz w:val="32"/>
          <w:szCs w:val="32"/>
          <w:lang w:val="en-US" w:eastAsia="zh-CN"/>
        </w:rPr>
        <w:t>不超过</w:t>
      </w:r>
      <w:r>
        <w:rPr>
          <w:rFonts w:hint="eastAsia" w:ascii="仿宋" w:hAnsi="仿宋" w:eastAsia="仿宋" w:cs="仿宋"/>
          <w:sz w:val="32"/>
          <w:szCs w:val="32"/>
        </w:rPr>
        <w:t>一</w:t>
      </w:r>
      <w:r>
        <w:rPr>
          <w:rFonts w:hint="eastAsia" w:ascii="仿宋" w:hAnsi="仿宋" w:eastAsia="仿宋" w:cs="仿宋"/>
          <w:sz w:val="32"/>
          <w:szCs w:val="32"/>
          <w:lang w:val="en-US" w:eastAsia="zh-CN"/>
        </w:rPr>
        <w:t>人</w:t>
      </w:r>
      <w:r>
        <w:rPr>
          <w:rFonts w:hint="eastAsia" w:ascii="仿宋" w:hAnsi="仿宋" w:eastAsia="仿宋" w:cs="仿宋"/>
          <w:sz w:val="32"/>
          <w:szCs w:val="32"/>
        </w:rPr>
        <w:t>。</w:t>
      </w:r>
    </w:p>
    <w:p w14:paraId="1EFBADA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4.借调人员借调期内不可报考。</w:t>
      </w:r>
    </w:p>
    <w:p w14:paraId="5806A256">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5.申请人英语须具备下列条件之一：</w:t>
      </w:r>
    </w:p>
    <w:p w14:paraId="310746BF">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达到国家大学英语考试(CET)六级430分及以上。</w:t>
      </w:r>
    </w:p>
    <w:p w14:paraId="3D703680">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托福(TOEFL) 书面考试 550分/ 网上考试80 分，且成绩效期必须为两年内。</w:t>
      </w:r>
    </w:p>
    <w:p w14:paraId="0B818C2D">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雅思考试(IELTS) 总分6.0或以上且每项分数不低于5.5分，且成绩有效期必须为两年内。</w:t>
      </w:r>
    </w:p>
    <w:p w14:paraId="55FA34AF">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英语专业英语考试四级(TEM 4)或八级(TEM 8) 。</w:t>
      </w:r>
    </w:p>
    <w:p w14:paraId="53599D9E">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 报考人须</w:t>
      </w:r>
      <w:r>
        <w:rPr>
          <w:rFonts w:hint="eastAsia" w:ascii="仿宋" w:hAnsi="仿宋" w:eastAsia="仿宋" w:cs="仿宋"/>
          <w:sz w:val="32"/>
          <w:szCs w:val="32"/>
          <w:lang w:val="en-US" w:eastAsia="zh-CN"/>
        </w:rPr>
        <w:t>具有五年以上法院系统工作经验且为</w:t>
      </w:r>
      <w:r>
        <w:rPr>
          <w:rFonts w:hint="eastAsia" w:ascii="仿宋" w:hAnsi="仿宋" w:eastAsia="仿宋" w:cs="仿宋"/>
          <w:sz w:val="32"/>
          <w:szCs w:val="32"/>
        </w:rPr>
        <w:t>五十周岁以下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即1975年1月1日后出生</w:t>
      </w:r>
      <w:r>
        <w:rPr>
          <w:rFonts w:hint="eastAsia" w:ascii="仿宋" w:hAnsi="仿宋" w:eastAsia="仿宋" w:cs="仿宋"/>
          <w:sz w:val="32"/>
          <w:szCs w:val="32"/>
          <w:lang w:eastAsia="zh-CN"/>
        </w:rPr>
        <w:t>）</w:t>
      </w:r>
      <w:r>
        <w:rPr>
          <w:rFonts w:hint="eastAsia" w:ascii="仿宋" w:hAnsi="仿宋" w:eastAsia="仿宋" w:cs="仿宋"/>
          <w:sz w:val="32"/>
          <w:szCs w:val="32"/>
        </w:rPr>
        <w:t>。</w:t>
      </w:r>
    </w:p>
    <w:p w14:paraId="674A8FED">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国家法官学院将认真核查报考人员情况，通盘考虑申请人的工作业绩、学术成就、法学修养、与法律相关的学术或实践经验等因素，向澳门大学法学院推荐面试人员，最终录取名单由澳门大学法学院通过面试最后确定。</w:t>
      </w:r>
    </w:p>
    <w:p w14:paraId="291CEC42">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三、报名方式、时间和地点</w:t>
      </w:r>
    </w:p>
    <w:p w14:paraId="6AD3F20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各省招生负责人请将申请人所在单位人事部门和高院政治部盖章的《报名资格审查表》及“申请人提交材料清单”中要求的材料,扫描成PDF格式后</w:t>
      </w:r>
      <w:r>
        <w:rPr>
          <w:rFonts w:hint="eastAsia" w:ascii="仿宋" w:hAnsi="仿宋" w:eastAsia="仿宋" w:cs="仿宋"/>
          <w:sz w:val="32"/>
          <w:szCs w:val="32"/>
          <w:lang w:eastAsia="zh-CN"/>
        </w:rPr>
        <w:t>，</w:t>
      </w:r>
      <w:r>
        <w:rPr>
          <w:rFonts w:hint="eastAsia" w:ascii="仿宋" w:hAnsi="仿宋" w:eastAsia="仿宋" w:cs="仿宋"/>
          <w:sz w:val="32"/>
          <w:szCs w:val="32"/>
        </w:rPr>
        <w:t>与研究计划书及《报名资格审查表》的word格式文档</w:t>
      </w:r>
      <w:r>
        <w:rPr>
          <w:rFonts w:hint="eastAsia" w:ascii="仿宋" w:hAnsi="仿宋" w:eastAsia="仿宋" w:cs="仿宋"/>
          <w:sz w:val="32"/>
          <w:szCs w:val="32"/>
          <w:lang w:eastAsia="zh-CN"/>
        </w:rPr>
        <w:t>，</w:t>
      </w:r>
      <w:r>
        <w:rPr>
          <w:rFonts w:hint="eastAsia" w:ascii="仿宋" w:hAnsi="仿宋" w:eastAsia="仿宋" w:cs="仿宋"/>
          <w:sz w:val="32"/>
          <w:szCs w:val="32"/>
        </w:rPr>
        <w:t>一起</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"mailto:于2019年4月10日前发送到943932661@qq.com" </w:instrText>
      </w:r>
      <w:r>
        <w:rPr>
          <w:rFonts w:hint="eastAsia" w:ascii="仿宋" w:hAnsi="仿宋" w:eastAsia="仿宋" w:cs="仿宋"/>
          <w:sz w:val="32"/>
          <w:szCs w:val="32"/>
        </w:rPr>
        <w:fldChar w:fldCharType="separate"/>
      </w:r>
      <w:r>
        <w:rPr>
          <w:rFonts w:hint="eastAsia" w:ascii="仿宋" w:hAnsi="仿宋" w:eastAsia="仿宋" w:cs="仿宋"/>
          <w:sz w:val="32"/>
          <w:szCs w:val="32"/>
        </w:rPr>
        <w:t>于2025年2月24日前通过电子邮件发送到</w:t>
      </w:r>
      <w:r>
        <w:rPr>
          <w:rFonts w:hint="eastAsia" w:ascii="仿宋" w:hAnsi="仿宋" w:eastAsia="仿宋" w:cs="仿宋"/>
          <w:sz w:val="32"/>
          <w:szCs w:val="32"/>
        </w:rPr>
        <w:fldChar w:fldCharType="end"/>
      </w:r>
      <w:r>
        <w:rPr>
          <w:rFonts w:hint="eastAsia" w:ascii="仿宋" w:hAnsi="仿宋" w:eastAsia="仿宋" w:cs="仿宋"/>
          <w:sz w:val="32"/>
          <w:szCs w:val="32"/>
        </w:rPr>
        <w:t>报名邮箱（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"mailto:njccityu@163.com"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lang w:eastAsia="en-US"/>
        </w:rPr>
        <w:t>njc</w:t>
      </w:r>
      <w:r>
        <w:rPr>
          <w:rFonts w:hint="eastAsia" w:ascii="仿宋" w:hAnsi="仿宋" w:eastAsia="仿宋" w:cs="仿宋"/>
          <w:color w:val="000000"/>
          <w:kern w:val="0"/>
          <w:sz w:val="32"/>
          <w:szCs w:val="32"/>
        </w:rPr>
        <w:t>shuoboxm</w:t>
      </w:r>
      <w:r>
        <w:rPr>
          <w:rFonts w:hint="eastAsia" w:ascii="仿宋" w:hAnsi="仿宋" w:eastAsia="仿宋" w:cs="仿宋"/>
          <w:color w:val="000000"/>
          <w:kern w:val="0"/>
          <w:sz w:val="32"/>
          <w:szCs w:val="32"/>
          <w:lang w:eastAsia="en-US"/>
        </w:rPr>
        <w:t>@163.com</w:t>
      </w:r>
      <w:r>
        <w:rPr>
          <w:rFonts w:hint="eastAsia" w:ascii="仿宋" w:hAnsi="仿宋" w:eastAsia="仿宋" w:cs="仿宋"/>
          <w:color w:val="000000"/>
          <w:kern w:val="0"/>
          <w:sz w:val="32"/>
          <w:szCs w:val="32"/>
          <w:lang w:eastAsia="en-US"/>
        </w:rPr>
        <w:fldChar w:fldCharType="end"/>
      </w:r>
      <w:r>
        <w:rPr>
          <w:rFonts w:hint="eastAsia" w:ascii="仿宋" w:hAnsi="仿宋" w:eastAsia="仿宋" w:cs="仿宋"/>
          <w:sz w:val="32"/>
          <w:szCs w:val="32"/>
        </w:rPr>
        <w:t>），邮件命名为“2025年澳门博士项目+省份+姓名”。</w:t>
      </w:r>
    </w:p>
    <w:p w14:paraId="7B1D59D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名资格审查表》由国家法官学院统一制定，可于国家法官学院网站或微信公众号下载。申请人所在单位人事部门在填写推荐意见的同时，须在照片上加盖公章。面试将在2025年3月进行,请携带《报名资格审查表》、“申请人提交材料清单”中所列材料来院参加面试。面试使用语言：中文。具体面试时间将另行通知。</w:t>
      </w:r>
    </w:p>
    <w:p w14:paraId="0EF88D6D">
      <w:pPr>
        <w:spacing w:line="580" w:lineRule="exact"/>
        <w:rPr>
          <w:rFonts w:hint="eastAsia" w:ascii="仿宋" w:hAnsi="仿宋" w:eastAsia="仿宋" w:cs="仿宋"/>
          <w:b/>
          <w:sz w:val="32"/>
          <w:szCs w:val="32"/>
        </w:rPr>
      </w:pPr>
      <w:r>
        <w:rPr>
          <w:rFonts w:hint="eastAsia" w:ascii="仿宋" w:hAnsi="仿宋" w:eastAsia="仿宋" w:cs="仿宋"/>
          <w:b/>
          <w:sz w:val="32"/>
          <w:szCs w:val="32"/>
        </w:rPr>
        <w:t xml:space="preserve">   四、学习课程安排</w:t>
      </w:r>
    </w:p>
    <w:p w14:paraId="574DD7F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攻读博士学位期间，学员应当修满24个学分，其中3门课程共计6个学分，博士学位论文共计18个学分。</w:t>
      </w:r>
    </w:p>
    <w:p w14:paraId="704B124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博士学习共四年，第一年为面授课程，由澳大法学院授课。凡录取的学员先将于4月至7月在国家法官学院参加为期3个月的英语强化学习，后将于202</w:t>
      </w:r>
      <w:r>
        <w:rPr>
          <w:rFonts w:hint="eastAsia" w:ascii="仿宋" w:hAnsi="仿宋" w:eastAsia="仿宋" w:cs="仿宋"/>
          <w:sz w:val="32"/>
          <w:szCs w:val="32"/>
          <w:lang w:val="en-US" w:eastAsia="zh-CN"/>
        </w:rPr>
        <w:t>5</w:t>
      </w:r>
      <w:r>
        <w:rPr>
          <w:rFonts w:hint="eastAsia" w:ascii="仿宋" w:hAnsi="仿宋" w:eastAsia="仿宋" w:cs="仿宋"/>
          <w:sz w:val="32"/>
          <w:szCs w:val="32"/>
        </w:rPr>
        <w:t>年8月赴澳，脱产学习至202</w:t>
      </w:r>
      <w:r>
        <w:rPr>
          <w:rFonts w:hint="eastAsia" w:ascii="仿宋" w:hAnsi="仿宋" w:eastAsia="仿宋" w:cs="仿宋"/>
          <w:sz w:val="32"/>
          <w:szCs w:val="32"/>
          <w:lang w:val="en-US" w:eastAsia="zh-CN"/>
        </w:rPr>
        <w:t>6</w:t>
      </w:r>
      <w:r>
        <w:rPr>
          <w:rFonts w:hint="eastAsia" w:ascii="仿宋" w:hAnsi="仿宋" w:eastAsia="仿宋" w:cs="仿宋"/>
          <w:sz w:val="32"/>
          <w:szCs w:val="32"/>
        </w:rPr>
        <w:t>年7月。</w:t>
      </w:r>
    </w:p>
    <w:p w14:paraId="54C62818">
      <w:pPr>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第二至第四年为论文撰写时间，每年五月须统一在澳大法学院从事论文研究，出席研究活动及研讨会等，时长约为两周。具体日程安排由澳大法学院确定。</w:t>
      </w:r>
    </w:p>
    <w:p w14:paraId="1DEA600F">
      <w:pPr>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博士课程的</w:t>
      </w:r>
      <w:r>
        <w:rPr>
          <w:rFonts w:hint="eastAsia" w:ascii="仿宋" w:hAnsi="仿宋" w:eastAsia="仿宋" w:cs="仿宋"/>
          <w:b/>
          <w:bCs/>
          <w:sz w:val="32"/>
          <w:szCs w:val="32"/>
        </w:rPr>
        <w:t>教学语言为英文</w:t>
      </w:r>
      <w:r>
        <w:rPr>
          <w:rFonts w:hint="eastAsia" w:ascii="仿宋" w:hAnsi="仿宋" w:eastAsia="仿宋" w:cs="仿宋"/>
          <w:b w:val="0"/>
          <w:bCs w:val="0"/>
          <w:sz w:val="32"/>
          <w:szCs w:val="32"/>
        </w:rPr>
        <w:t>, 论文语言可选择中文或英文。学员的学</w:t>
      </w:r>
      <w:r>
        <w:rPr>
          <w:rFonts w:hint="eastAsia" w:ascii="仿宋" w:hAnsi="仿宋" w:eastAsia="仿宋" w:cs="仿宋"/>
          <w:sz w:val="32"/>
          <w:szCs w:val="32"/>
        </w:rPr>
        <w:t>业成绩证明、学位证书及本课程的宣传材料将会注明教学语言。</w:t>
      </w:r>
    </w:p>
    <w:p w14:paraId="6CCEF65C">
      <w:p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五、论文要求</w:t>
      </w:r>
    </w:p>
    <w:p w14:paraId="515B700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为深入学习贯彻习近平新时代中国特色社会主义思想，坚定不移、全面准确贯彻“一国两制”方针和习近平总书记关于港澳工作的重要论述精神，统筹推进国内法治和</w:t>
      </w:r>
      <w:bookmarkStart w:id="2" w:name="_Hlk123582831"/>
      <w:r>
        <w:rPr>
          <w:rFonts w:hint="eastAsia" w:ascii="仿宋" w:hAnsi="仿宋" w:eastAsia="仿宋" w:cs="仿宋"/>
          <w:sz w:val="32"/>
          <w:szCs w:val="32"/>
        </w:rPr>
        <w:t>涉外法治</w:t>
      </w:r>
      <w:bookmarkEnd w:id="2"/>
      <w:r>
        <w:rPr>
          <w:rFonts w:hint="eastAsia" w:ascii="仿宋" w:hAnsi="仿宋" w:eastAsia="仿宋" w:cs="仿宋"/>
          <w:sz w:val="32"/>
          <w:szCs w:val="32"/>
        </w:rPr>
        <w:t>建设，更好维护国家主权、安全、发展利益，达成法官合作培训项目关于培养精通涉外涉港澳法律规则、精于处理区际法律事务的高层次审判人才，推进内地与港澳司法交流与协作的目标和要求，所有博士学员在论文选题及撰写中，须主要论及港澳法律制度及司法实践，港澳基本法适用及案例分析、域外法或比较法的相关内容，不可只论及内地法律。所有学员须在参加澳门大学法学院面试时明确选题方向，并由澳门大学法学院和国家法官学院在面试后，确定录取人选时同时确定每名博士学员的具体选题方向。在选题确定后如需对选题进行重大修改，须将经导师批准后修改的题目发送给国家法官学院项目负责人统一审核，以明确选题与涉外法治的相关性。</w:t>
      </w:r>
    </w:p>
    <w:p w14:paraId="4C3177DF">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六、学位授予</w:t>
      </w:r>
    </w:p>
    <w:p w14:paraId="5F4B9EC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所有学习、论文撰写及答辩必须自学员注册之日起于六年内完成，如果不能按期完成则视为肄业。在六年内修满规定的学分，通过博士学位论文答辩者，授予澳门大学哲学博士（法学）学位。</w:t>
      </w:r>
    </w:p>
    <w:p w14:paraId="52D9FBF9">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七、学习费用</w:t>
      </w:r>
    </w:p>
    <w:p w14:paraId="101EDB8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习期间的学费、住宿费、生活费及往返旅费需由学员本人承担。学习费用按照澳门大学的有关规定执行，四年总计学费总额为150,000澳门元（减免前），澳门大学可根据实际情况决定给予少数学费减免名额，减免幅度最大为学费的百分之二十。学费如有调整，按照澳门大学的规定执行。如需要延期毕业，每学期需缴纳学费9,380澳门币，以澳门大学实际收取为准。</w:t>
      </w:r>
    </w:p>
    <w:p w14:paraId="4BD1D760">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八、注意事项</w:t>
      </w:r>
    </w:p>
    <w:p w14:paraId="29003F72">
      <w:pPr>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申请人要保证能够参加所有学习及培训活动，避免因自身身体及其他原因不能参加学习。申请人须提前了解本人所在地区及单位的国家工作人员出国（境）留学政策，</w:t>
      </w:r>
      <w:r>
        <w:rPr>
          <w:rFonts w:hint="eastAsia" w:ascii="仿宋" w:hAnsi="仿宋" w:eastAsia="仿宋" w:cs="仿宋"/>
          <w:sz w:val="32"/>
          <w:szCs w:val="32"/>
        </w:rPr>
        <w:t>报名时须充分考虑若获得录取，能否按照规定满足第一年在澳上课时长，以符合教育部学历认证的要求且不影响学习进度。如因故中途终止修读科目，休学或退学，已缴付学费将不会退回。</w:t>
      </w:r>
    </w:p>
    <w:p w14:paraId="09761887">
      <w:pPr>
        <w:spacing w:line="580" w:lineRule="exact"/>
        <w:ind w:left="638" w:leftChars="304"/>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九、招生咨询 </w:t>
      </w:r>
    </w:p>
    <w:p w14:paraId="03752AD7">
      <w:pPr>
        <w:spacing w:line="580" w:lineRule="exact"/>
        <w:ind w:left="638" w:leftChars="304"/>
        <w:rPr>
          <w:rFonts w:hint="eastAsia" w:ascii="仿宋" w:hAnsi="仿宋" w:eastAsia="仿宋" w:cs="仿宋"/>
          <w:sz w:val="32"/>
          <w:szCs w:val="32"/>
        </w:rPr>
      </w:pPr>
      <w:r>
        <w:rPr>
          <w:rFonts w:hint="eastAsia" w:ascii="仿宋" w:hAnsi="仿宋" w:eastAsia="仿宋" w:cs="仿宋"/>
          <w:sz w:val="32"/>
          <w:szCs w:val="32"/>
        </w:rPr>
        <w:t xml:space="preserve">国家法官学院 </w:t>
      </w:r>
    </w:p>
    <w:p w14:paraId="6EBE484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联系人：李文捷010-67559625 13683203945</w:t>
      </w:r>
    </w:p>
    <w:p w14:paraId="7C9A9278">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 xml:space="preserve">E-mail: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"mailto:njccityu@163.com"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rPr>
        <w:t>njcshuoboxm@163.com</w:t>
      </w:r>
      <w:r>
        <w:rPr>
          <w:rFonts w:hint="eastAsia" w:ascii="仿宋" w:hAnsi="仿宋" w:eastAsia="仿宋" w:cs="仿宋"/>
          <w:color w:val="000000"/>
          <w:kern w:val="0"/>
          <w:sz w:val="32"/>
          <w:szCs w:val="32"/>
        </w:rPr>
        <w:fldChar w:fldCharType="end"/>
      </w:r>
    </w:p>
    <w:p w14:paraId="3783952E">
      <w:pPr>
        <w:spacing w:line="580" w:lineRule="exact"/>
        <w:ind w:left="685" w:leftChars="250" w:hanging="160" w:hangingChars="50"/>
        <w:rPr>
          <w:rFonts w:hint="eastAsia" w:ascii="仿宋" w:hAnsi="仿宋" w:eastAsia="仿宋" w:cs="仿宋"/>
          <w:sz w:val="32"/>
          <w:szCs w:val="32"/>
        </w:rPr>
      </w:pPr>
      <w:r>
        <w:rPr>
          <w:rFonts w:hint="eastAsia" w:ascii="仿宋" w:hAnsi="仿宋" w:eastAsia="仿宋" w:cs="仿宋"/>
          <w:sz w:val="32"/>
          <w:szCs w:val="32"/>
        </w:rPr>
        <w:t>地  址：北京市丰台区南四环西路111号</w:t>
      </w:r>
    </w:p>
    <w:p w14:paraId="1E924912">
      <w:pPr>
        <w:spacing w:line="580" w:lineRule="exact"/>
        <w:ind w:left="685" w:leftChars="250" w:hanging="160" w:hangingChars="50"/>
        <w:rPr>
          <w:rFonts w:hint="eastAsia" w:ascii="仿宋" w:hAnsi="仿宋" w:eastAsia="仿宋" w:cs="仿宋"/>
          <w:sz w:val="32"/>
          <w:szCs w:val="32"/>
        </w:rPr>
      </w:pPr>
      <w:r>
        <w:rPr>
          <w:rFonts w:hint="eastAsia" w:ascii="仿宋" w:hAnsi="仿宋" w:eastAsia="仿宋" w:cs="仿宋"/>
          <w:sz w:val="32"/>
          <w:szCs w:val="32"/>
        </w:rPr>
        <w:t>邮  编：100070</w:t>
      </w:r>
    </w:p>
    <w:p w14:paraId="1F7934A2">
      <w:pPr>
        <w:spacing w:line="580" w:lineRule="exact"/>
        <w:ind w:left="685" w:leftChars="250" w:hanging="160" w:hangingChars="50"/>
        <w:rPr>
          <w:rFonts w:hint="eastAsia" w:ascii="仿宋" w:hAnsi="仿宋" w:eastAsia="仿宋" w:cs="仿宋"/>
          <w:sz w:val="32"/>
          <w:szCs w:val="32"/>
        </w:rPr>
      </w:pPr>
      <w:r>
        <w:rPr>
          <w:rFonts w:hint="eastAsia" w:ascii="仿宋" w:hAnsi="仿宋" w:eastAsia="仿宋" w:cs="仿宋"/>
          <w:sz w:val="32"/>
          <w:szCs w:val="32"/>
        </w:rPr>
        <w:t>国家法官学院网址：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"http://njc.chinacourt.org" </w:instrText>
      </w:r>
      <w:r>
        <w:rPr>
          <w:rFonts w:hint="eastAsia" w:ascii="仿宋" w:hAnsi="仿宋" w:eastAsia="仿宋" w:cs="仿宋"/>
          <w:sz w:val="32"/>
          <w:szCs w:val="32"/>
        </w:rPr>
        <w:fldChar w:fldCharType="separate"/>
      </w:r>
      <w:r>
        <w:rPr>
          <w:rFonts w:hint="eastAsia" w:ascii="仿宋" w:hAnsi="仿宋" w:eastAsia="仿宋" w:cs="仿宋"/>
          <w:sz w:val="32"/>
          <w:szCs w:val="32"/>
        </w:rPr>
        <w:t>http://njc.chinacourt.org</w:t>
      </w:r>
      <w:r>
        <w:rPr>
          <w:rFonts w:hint="eastAsia" w:ascii="仿宋" w:hAnsi="仿宋" w:eastAsia="仿宋" w:cs="仿宋"/>
          <w:sz w:val="32"/>
          <w:szCs w:val="32"/>
        </w:rPr>
        <w:fldChar w:fldCharType="end"/>
      </w:r>
    </w:p>
    <w:p w14:paraId="15788124">
      <w:pPr>
        <w:rPr>
          <w:rFonts w:hint="eastAsia" w:ascii="仿宋" w:hAnsi="仿宋" w:eastAsia="仿宋" w:cs="仿宋"/>
          <w:sz w:val="32"/>
          <w:szCs w:val="32"/>
        </w:rPr>
      </w:pPr>
    </w:p>
    <w:p w14:paraId="0BA4CC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C5365"/>
    <w:rsid w:val="691C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2025-01-17T07:15:00Z</dcterms:created>
  <dc:creator>86186</dc:creator>
  <cp:lastModifiedBy>86186</cp:lastModifiedBy>
  <dcterms:modified xsi:type="dcterms:W3CDTF">2025-01-17T07:15:17Z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5E195D787F87480F9B6BBCF168A783AB_11</vt:lpwstr>
  </property>
  <property fmtid="{D5CDD505-2E9C-101B-9397-08002B2CF9AE}" pid="4" name="KSOTemplateDocerSaveRecord">
    <vt:lpwstr>eyJoZGlkIjoiMGU1YjJkZGY1NDk3NWE4NTNjOTQxMjA2YWM3ZmY3NTYifQ==</vt:lpwstr>
  </property>
</Properties>
</file>