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outlineLvl w:val="9"/>
        <w:rPr>
          <w:rFonts w:hint="eastAsia" w:ascii="方正小标宋简体" w:eastAsia="方正小标宋简体"/>
          <w:color w:val="auto"/>
          <w:sz w:val="44"/>
          <w:szCs w:val="44"/>
        </w:rPr>
      </w:pPr>
    </w:p>
    <w:p>
      <w:pPr>
        <w:spacing w:line="600" w:lineRule="exact"/>
        <w:ind w:firstLine="0" w:firstLineChars="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资阳市</w:t>
      </w:r>
      <w:r>
        <w:rPr>
          <w:rFonts w:hint="eastAsia" w:ascii="方正小标宋简体" w:eastAsia="方正小标宋简体"/>
          <w:color w:val="auto"/>
          <w:sz w:val="44"/>
          <w:szCs w:val="44"/>
          <w:lang w:eastAsia="zh-CN"/>
        </w:rPr>
        <w:t>安岳县人民法院</w:t>
      </w:r>
    </w:p>
    <w:p>
      <w:pPr>
        <w:spacing w:line="600" w:lineRule="exact"/>
        <w:ind w:firstLine="0" w:firstLineChars="0"/>
        <w:jc w:val="center"/>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年单位预算编制说明</w:t>
      </w:r>
    </w:p>
    <w:p>
      <w:pPr>
        <w:spacing w:line="600" w:lineRule="exact"/>
        <w:ind w:firstLine="880" w:firstLineChars="200"/>
        <w:jc w:val="center"/>
        <w:rPr>
          <w:rFonts w:ascii="方正小标宋简体" w:eastAsia="方正小标宋简体"/>
          <w:color w:val="auto"/>
          <w:sz w:val="44"/>
          <w:szCs w:val="44"/>
        </w:rPr>
      </w:pP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目 录</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eastAsia="方正黑体简体"/>
          <w:color w:val="auto"/>
          <w:sz w:val="32"/>
          <w:szCs w:val="32"/>
        </w:rPr>
      </w:pPr>
      <w:r>
        <w:rPr>
          <w:rFonts w:eastAsia="方正黑体简体"/>
          <w:color w:val="auto"/>
          <w:sz w:val="32"/>
          <w:szCs w:val="32"/>
        </w:rPr>
        <w:t>一、基本职能及主要工作</w:t>
      </w:r>
      <w:r>
        <w:rPr>
          <w:rFonts w:eastAsia="方正楷体简体"/>
          <w:b/>
          <w:color w:val="auto"/>
          <w:sz w:val="32"/>
          <w:szCs w:val="32"/>
        </w:rPr>
        <w:t>……………………………….</w:t>
      </w:r>
      <w:r>
        <w:rPr>
          <w:rFonts w:hint="eastAsia" w:eastAsia="方正楷体简体"/>
          <w:b/>
          <w:color w:val="auto"/>
          <w:sz w:val="32"/>
          <w:szCs w:val="32"/>
          <w:lang w:val="en-US" w:eastAsia="zh-CN"/>
        </w:rPr>
        <w:t>1-2</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left="959" w:leftChars="304" w:hanging="321" w:hangingChars="100"/>
        <w:textAlignment w:val="auto"/>
        <w:rPr>
          <w:rFonts w:hint="default" w:eastAsia="方正楷体简体"/>
          <w:b/>
          <w:color w:val="auto"/>
          <w:sz w:val="32"/>
          <w:szCs w:val="32"/>
          <w:lang w:val="en-US" w:eastAsia="zh-CN"/>
        </w:rPr>
      </w:pPr>
      <w:r>
        <w:rPr>
          <w:rFonts w:eastAsia="方正楷体简体"/>
          <w:b/>
          <w:color w:val="auto"/>
          <w:sz w:val="32"/>
          <w:szCs w:val="32"/>
        </w:rPr>
        <w:t>（一）职能简介………………..</w:t>
      </w:r>
      <w:r>
        <w:rPr>
          <w:rFonts w:hint="eastAsia" w:eastAsia="方正楷体简体"/>
          <w:b/>
          <w:color w:val="auto"/>
          <w:sz w:val="32"/>
          <w:szCs w:val="32"/>
          <w:lang w:val="en-US" w:eastAsia="zh-CN"/>
        </w:rPr>
        <w:t>.............................1</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left="959" w:leftChars="304" w:hanging="321" w:hangingChars="100"/>
        <w:textAlignment w:val="auto"/>
        <w:rPr>
          <w:rFonts w:hint="default" w:eastAsia="方正楷体简体"/>
          <w:color w:val="auto"/>
          <w:sz w:val="32"/>
          <w:szCs w:val="32"/>
          <w:lang w:val="en-US" w:eastAsia="zh-CN"/>
        </w:rPr>
      </w:pPr>
      <w:r>
        <w:rPr>
          <w:rFonts w:eastAsia="方正楷体简体"/>
          <w:b/>
          <w:color w:val="auto"/>
          <w:sz w:val="32"/>
          <w:szCs w:val="32"/>
        </w:rPr>
        <w:t>（二）202</w:t>
      </w:r>
      <w:r>
        <w:rPr>
          <w:rFonts w:hint="eastAsia" w:eastAsia="方正楷体简体"/>
          <w:b/>
          <w:color w:val="auto"/>
          <w:sz w:val="32"/>
          <w:szCs w:val="32"/>
          <w:lang w:val="en-US" w:eastAsia="zh-CN"/>
        </w:rPr>
        <w:t>5</w:t>
      </w:r>
      <w:r>
        <w:rPr>
          <w:rFonts w:eastAsia="方正楷体简体"/>
          <w:b/>
          <w:color w:val="auto"/>
          <w:sz w:val="32"/>
          <w:szCs w:val="32"/>
        </w:rPr>
        <w:t>年重点工作……………….</w:t>
      </w:r>
      <w:r>
        <w:rPr>
          <w:rFonts w:hint="eastAsia" w:eastAsia="方正楷体简体"/>
          <w:b/>
          <w:color w:val="auto"/>
          <w:sz w:val="32"/>
          <w:szCs w:val="32"/>
          <w:lang w:val="en-US" w:eastAsia="zh-CN"/>
        </w:rPr>
        <w:t>...................2</w:t>
      </w:r>
    </w:p>
    <w:p>
      <w:pPr>
        <w:keepNext w:val="0"/>
        <w:keepLines w:val="0"/>
        <w:pageBreakBefore w:val="0"/>
        <w:widowControl w:val="0"/>
        <w:numPr>
          <w:ilvl w:val="0"/>
          <w:numId w:val="0"/>
        </w:numPr>
        <w:tabs>
          <w:tab w:val="right" w:leader="dot" w:pos="7272"/>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简体" w:cs="Times New Roman"/>
          <w:b w:val="0"/>
          <w:color w:val="auto"/>
          <w:sz w:val="32"/>
          <w:szCs w:val="32"/>
          <w:lang w:val="en-US" w:eastAsia="zh-CN"/>
        </w:rPr>
      </w:pPr>
      <w:r>
        <w:rPr>
          <w:rFonts w:hint="eastAsia" w:eastAsia="方正黑体简体"/>
          <w:color w:val="auto"/>
          <w:sz w:val="32"/>
          <w:szCs w:val="32"/>
          <w:lang w:eastAsia="zh-CN"/>
        </w:rPr>
        <w:t>二、</w:t>
      </w:r>
      <w:r>
        <w:rPr>
          <w:rFonts w:hint="eastAsia" w:eastAsia="方正黑体简体"/>
          <w:color w:val="auto"/>
          <w:sz w:val="32"/>
          <w:szCs w:val="32"/>
        </w:rPr>
        <w:t>单位预算单位构成</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..................2</w:t>
      </w:r>
    </w:p>
    <w:p>
      <w:pPr>
        <w:keepNext w:val="0"/>
        <w:keepLines w:val="0"/>
        <w:pageBreakBefore w:val="0"/>
        <w:widowControl w:val="0"/>
        <w:numPr>
          <w:ilvl w:val="0"/>
          <w:numId w:val="0"/>
        </w:numPr>
        <w:tabs>
          <w:tab w:val="right" w:leader="dot" w:pos="7272"/>
        </w:tabs>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简体"/>
          <w:color w:val="auto"/>
          <w:sz w:val="32"/>
          <w:szCs w:val="32"/>
          <w:lang w:eastAsia="zh-CN"/>
        </w:rPr>
      </w:pPr>
      <w:r>
        <w:rPr>
          <w:rFonts w:hint="eastAsia" w:eastAsia="方正黑体简体"/>
          <w:color w:val="auto"/>
          <w:sz w:val="32"/>
          <w:szCs w:val="32"/>
        </w:rPr>
        <w:t>三、收支预算情况说明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eastAsia" w:eastAsia="方正楷体简体"/>
          <w:color w:val="auto"/>
          <w:sz w:val="32"/>
          <w:szCs w:val="32"/>
          <w:lang w:eastAsia="zh-CN"/>
        </w:rPr>
      </w:pPr>
      <w:r>
        <w:rPr>
          <w:rFonts w:hint="eastAsia" w:eastAsia="方正楷体简体"/>
          <w:b/>
          <w:color w:val="auto"/>
          <w:sz w:val="32"/>
          <w:szCs w:val="32"/>
        </w:rPr>
        <w:t>（一）收入预算情况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eastAsia" w:eastAsia="方正楷体简体"/>
          <w:color w:val="auto"/>
          <w:sz w:val="32"/>
          <w:szCs w:val="32"/>
          <w:lang w:eastAsia="zh-CN"/>
        </w:rPr>
      </w:pPr>
      <w:r>
        <w:rPr>
          <w:rFonts w:hint="eastAsia" w:eastAsia="方正楷体简体"/>
          <w:b/>
          <w:color w:val="auto"/>
          <w:sz w:val="32"/>
          <w:szCs w:val="32"/>
        </w:rPr>
        <w:t>（二）支出预算情况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default" w:eastAsia="方正楷体简体"/>
          <w:b/>
          <w:color w:val="auto"/>
          <w:sz w:val="32"/>
          <w:szCs w:val="32"/>
          <w:lang w:val="en-US" w:eastAsia="zh-CN"/>
        </w:rPr>
      </w:pPr>
      <w:r>
        <w:rPr>
          <w:rFonts w:hint="eastAsia" w:eastAsia="方正黑体简体"/>
          <w:color w:val="auto"/>
          <w:sz w:val="32"/>
          <w:szCs w:val="32"/>
        </w:rPr>
        <w:t>四、财政拨款收支预算情况说明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default" w:eastAsia="方正楷体简体"/>
          <w:color w:val="auto"/>
          <w:sz w:val="32"/>
          <w:szCs w:val="32"/>
          <w:lang w:val="en-US" w:eastAsia="zh-CN"/>
        </w:rPr>
      </w:pPr>
      <w:r>
        <w:rPr>
          <w:rFonts w:hint="eastAsia" w:eastAsia="方正黑体简体"/>
          <w:color w:val="auto"/>
          <w:sz w:val="32"/>
          <w:szCs w:val="32"/>
        </w:rPr>
        <w:t>五、一般公共预算当年拨款情况说明</w:t>
      </w:r>
      <w:r>
        <w:rPr>
          <w:rFonts w:eastAsia="方正楷体简体"/>
          <w:b/>
          <w:color w:val="auto"/>
          <w:sz w:val="32"/>
          <w:szCs w:val="32"/>
        </w:rPr>
        <w:t>…..</w:t>
      </w:r>
      <w:r>
        <w:rPr>
          <w:rFonts w:hint="eastAsia" w:eastAsia="方正楷体简体"/>
          <w:b/>
          <w:color w:val="auto"/>
          <w:sz w:val="32"/>
          <w:szCs w:val="32"/>
          <w:lang w:val="en-US" w:eastAsia="zh-CN"/>
        </w:rPr>
        <w:t>................3-5</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eastAsia" w:eastAsia="方正楷体简体"/>
          <w:b/>
          <w:color w:val="auto"/>
          <w:sz w:val="32"/>
          <w:szCs w:val="32"/>
          <w:lang w:val="en-US" w:eastAsia="zh-CN"/>
        </w:rPr>
      </w:pPr>
      <w:r>
        <w:rPr>
          <w:rFonts w:hint="eastAsia" w:eastAsia="方正楷体简体"/>
          <w:b/>
          <w:color w:val="auto"/>
          <w:sz w:val="32"/>
          <w:szCs w:val="32"/>
        </w:rPr>
        <w:t>（一）一般公共预算当年拨款规模变化情况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4</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eastAsia" w:eastAsia="方正楷体简体"/>
          <w:b/>
          <w:color w:val="auto"/>
          <w:sz w:val="32"/>
          <w:szCs w:val="32"/>
          <w:lang w:val="en-US" w:eastAsia="zh-CN"/>
        </w:rPr>
      </w:pPr>
      <w:r>
        <w:rPr>
          <w:rFonts w:hint="eastAsia" w:eastAsia="方正楷体简体"/>
          <w:b/>
          <w:color w:val="auto"/>
          <w:sz w:val="32"/>
          <w:szCs w:val="32"/>
        </w:rPr>
        <w:t>（二）一般公共预算当年拨款结构情况</w:t>
      </w:r>
      <w:r>
        <w:rPr>
          <w:rFonts w:eastAsia="方正楷体简体"/>
          <w:b/>
          <w:color w:val="auto"/>
          <w:sz w:val="32"/>
          <w:szCs w:val="32"/>
        </w:rPr>
        <w:t>..</w:t>
      </w:r>
      <w:r>
        <w:rPr>
          <w:rFonts w:hint="eastAsia" w:eastAsia="方正楷体简体"/>
          <w:b/>
          <w:color w:val="auto"/>
          <w:sz w:val="32"/>
          <w:szCs w:val="32"/>
          <w:lang w:val="en-US" w:eastAsia="zh-CN"/>
        </w:rPr>
        <w:t>..................4</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default" w:eastAsia="方正楷体简体"/>
          <w:b/>
          <w:color w:val="auto"/>
          <w:sz w:val="32"/>
          <w:szCs w:val="32"/>
          <w:lang w:val="en-US" w:eastAsia="zh-CN"/>
        </w:rPr>
      </w:pPr>
      <w:r>
        <w:rPr>
          <w:rFonts w:hint="eastAsia" w:eastAsia="方正楷体简体"/>
          <w:b/>
          <w:color w:val="auto"/>
          <w:sz w:val="32"/>
          <w:szCs w:val="32"/>
        </w:rPr>
        <w:t>（三）一般公共预算当年拨款具体使用情况</w:t>
      </w:r>
      <w:r>
        <w:rPr>
          <w:rFonts w:eastAsia="方正楷体简体"/>
          <w:b/>
          <w:color w:val="auto"/>
          <w:sz w:val="32"/>
          <w:szCs w:val="32"/>
        </w:rPr>
        <w:t>……..</w:t>
      </w:r>
      <w:r>
        <w:rPr>
          <w:rFonts w:hint="eastAsia" w:eastAsia="方正楷体简体"/>
          <w:b/>
          <w:color w:val="auto"/>
          <w:sz w:val="32"/>
          <w:szCs w:val="32"/>
          <w:lang w:val="en-US" w:eastAsia="zh-CN"/>
        </w:rPr>
        <w:t>.....4-5</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eastAsia" w:eastAsia="方正楷体简体"/>
          <w:b/>
          <w:color w:val="auto"/>
          <w:sz w:val="32"/>
          <w:szCs w:val="32"/>
          <w:lang w:val="en-US" w:eastAsia="zh-CN"/>
        </w:rPr>
      </w:pPr>
      <w:r>
        <w:rPr>
          <w:rFonts w:hint="eastAsia" w:eastAsia="方正黑体简体"/>
          <w:color w:val="auto"/>
          <w:sz w:val="32"/>
          <w:szCs w:val="32"/>
        </w:rPr>
        <w:t>六、一般公共预算基本支出情况说明</w:t>
      </w:r>
      <w:r>
        <w:rPr>
          <w:rFonts w:eastAsia="方正楷体简体"/>
          <w:b/>
          <w:color w:val="auto"/>
          <w:sz w:val="32"/>
          <w:szCs w:val="32"/>
        </w:rPr>
        <w:t>…</w:t>
      </w:r>
      <w:r>
        <w:rPr>
          <w:rFonts w:hint="eastAsia" w:eastAsia="方正楷体简体"/>
          <w:b/>
          <w:color w:val="auto"/>
          <w:sz w:val="32"/>
          <w:szCs w:val="32"/>
          <w:lang w:val="en-US" w:eastAsia="zh-CN"/>
        </w:rPr>
        <w:t>....................5</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default" w:eastAsia="方正楷体简体"/>
          <w:b/>
          <w:color w:val="auto"/>
          <w:sz w:val="32"/>
          <w:szCs w:val="32"/>
          <w:lang w:val="en-US" w:eastAsia="zh-CN"/>
        </w:rPr>
      </w:pPr>
      <w:r>
        <w:rPr>
          <w:rFonts w:hint="eastAsia" w:eastAsia="方正黑体简体"/>
          <w:color w:val="auto"/>
          <w:sz w:val="32"/>
          <w:szCs w:val="32"/>
        </w:rPr>
        <w:t>七、“三公”经费财政拨款预算安排情况说明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...5-6</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eastAsia="方正黑体简体"/>
          <w:color w:val="auto"/>
          <w:sz w:val="32"/>
          <w:szCs w:val="32"/>
        </w:rPr>
      </w:pPr>
      <w:r>
        <w:rPr>
          <w:rFonts w:hint="eastAsia" w:eastAsia="方正黑体简体"/>
          <w:color w:val="auto"/>
          <w:sz w:val="32"/>
          <w:szCs w:val="32"/>
        </w:rPr>
        <w:t>八、政府性基金预算支出情况说明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eastAsia" w:eastAsia="方正楷体简体"/>
          <w:b/>
          <w:color w:val="auto"/>
          <w:sz w:val="32"/>
          <w:szCs w:val="32"/>
          <w:lang w:val="en-US" w:eastAsia="zh-CN"/>
        </w:rPr>
      </w:pPr>
      <w:r>
        <w:rPr>
          <w:rFonts w:hint="eastAsia" w:eastAsia="方正黑体简体"/>
          <w:color w:val="auto"/>
          <w:sz w:val="32"/>
          <w:szCs w:val="32"/>
        </w:rPr>
        <w:t>九、国有资本经营预算支出情况说明</w:t>
      </w:r>
      <w:r>
        <w:rPr>
          <w:rFonts w:eastAsia="方正楷体简体"/>
          <w:b/>
          <w:color w:val="auto"/>
          <w:sz w:val="32"/>
          <w:szCs w:val="32"/>
        </w:rPr>
        <w:t>…..</w:t>
      </w:r>
      <w:r>
        <w:rPr>
          <w:rFonts w:hint="eastAsia" w:eastAsia="方正楷体简体"/>
          <w:b/>
          <w:color w:val="auto"/>
          <w:sz w:val="32"/>
          <w:szCs w:val="32"/>
          <w:lang w:val="en-US" w:eastAsia="zh-CN"/>
        </w:rPr>
        <w:t>..................6</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eastAsia" w:eastAsia="方正黑体简体"/>
          <w:color w:val="auto"/>
          <w:sz w:val="32"/>
          <w:szCs w:val="32"/>
        </w:rPr>
        <w:sectPr>
          <w:pgSz w:w="11906" w:h="16838"/>
          <w:pgMar w:top="1440" w:right="1588" w:bottom="1440" w:left="1588" w:header="851" w:footer="992" w:gutter="0"/>
          <w:pgNumType w:fmt="decimal"/>
          <w:cols w:space="720" w:num="1"/>
          <w:docGrid w:type="lines" w:linePitch="312" w:charSpace="0"/>
        </w:sectPr>
      </w:pP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default" w:eastAsia="方正楷体简体"/>
          <w:color w:val="auto"/>
          <w:sz w:val="32"/>
          <w:szCs w:val="32"/>
          <w:lang w:val="en-US" w:eastAsia="zh-CN"/>
        </w:rPr>
      </w:pPr>
      <w:r>
        <w:rPr>
          <w:rFonts w:hint="eastAsia" w:eastAsia="方正黑体简体"/>
          <w:color w:val="auto"/>
          <w:sz w:val="32"/>
          <w:szCs w:val="32"/>
        </w:rPr>
        <w:t>十、其他重要事项的情况说明</w:t>
      </w:r>
      <w:r>
        <w:rPr>
          <w:rFonts w:eastAsia="方正楷体简体"/>
          <w:b/>
          <w:color w:val="auto"/>
          <w:sz w:val="32"/>
          <w:szCs w:val="32"/>
        </w:rPr>
        <w:t>……..</w:t>
      </w:r>
      <w:r>
        <w:rPr>
          <w:rFonts w:hint="eastAsia" w:eastAsia="方正楷体简体"/>
          <w:b/>
          <w:color w:val="auto"/>
          <w:sz w:val="32"/>
          <w:szCs w:val="32"/>
          <w:lang w:val="en-US" w:eastAsia="zh-CN"/>
        </w:rPr>
        <w:t>.....................6-7</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hint="eastAsia" w:eastAsia="方正楷体简体"/>
          <w:b/>
          <w:color w:val="auto"/>
          <w:sz w:val="32"/>
          <w:szCs w:val="32"/>
          <w:lang w:eastAsia="zh-CN"/>
        </w:rPr>
      </w:pPr>
      <w:r>
        <w:rPr>
          <w:rFonts w:hint="eastAsia" w:eastAsia="方正楷体简体"/>
          <w:b/>
          <w:color w:val="auto"/>
          <w:sz w:val="32"/>
          <w:szCs w:val="32"/>
        </w:rPr>
        <w:t>（一）机关运行经费</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..6-7</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left="638" w:leftChars="304" w:firstLine="0" w:firstLineChars="0"/>
        <w:textAlignment w:val="auto"/>
        <w:rPr>
          <w:rFonts w:hint="eastAsia" w:eastAsia="方正楷体简体"/>
          <w:b/>
          <w:color w:val="auto"/>
          <w:sz w:val="32"/>
          <w:szCs w:val="32"/>
          <w:lang w:val="en-US" w:eastAsia="zh-CN"/>
        </w:rPr>
      </w:pPr>
      <w:r>
        <w:rPr>
          <w:rFonts w:hint="eastAsia" w:eastAsia="方正楷体简体"/>
          <w:b/>
          <w:color w:val="auto"/>
          <w:sz w:val="32"/>
          <w:szCs w:val="32"/>
        </w:rPr>
        <w:t>（二）政府采购情况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left="638" w:leftChars="304" w:firstLine="0" w:firstLineChars="0"/>
        <w:textAlignment w:val="auto"/>
        <w:rPr>
          <w:rFonts w:eastAsia="方正楷体简体"/>
          <w:b/>
          <w:color w:val="auto"/>
          <w:sz w:val="32"/>
          <w:szCs w:val="32"/>
        </w:rPr>
      </w:pPr>
      <w:r>
        <w:rPr>
          <w:rFonts w:hint="eastAsia" w:eastAsia="方正楷体简体"/>
          <w:b/>
          <w:color w:val="auto"/>
          <w:sz w:val="32"/>
          <w:szCs w:val="32"/>
        </w:rPr>
        <w:t>（三）国有资产占有使用情况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3" w:firstLineChars="200"/>
        <w:textAlignment w:val="auto"/>
        <w:rPr>
          <w:rFonts w:eastAsia="方正黑体简体"/>
          <w:color w:val="auto"/>
          <w:sz w:val="32"/>
          <w:szCs w:val="32"/>
        </w:rPr>
      </w:pPr>
      <w:r>
        <w:rPr>
          <w:rFonts w:hint="eastAsia" w:eastAsia="方正楷体简体"/>
          <w:b/>
          <w:color w:val="auto"/>
          <w:sz w:val="32"/>
          <w:szCs w:val="32"/>
        </w:rPr>
        <w:t>（四）绩效目标设置情况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w:t>
      </w:r>
    </w:p>
    <w:p>
      <w:pPr>
        <w:keepNext w:val="0"/>
        <w:keepLines w:val="0"/>
        <w:pageBreakBefore w:val="0"/>
        <w:widowControl w:val="0"/>
        <w:tabs>
          <w:tab w:val="right" w:leader="dot" w:pos="7272"/>
        </w:tabs>
        <w:kinsoku/>
        <w:wordWrap/>
        <w:overflowPunct/>
        <w:topLinePunct w:val="0"/>
        <w:autoSpaceDE/>
        <w:autoSpaceDN/>
        <w:bidi w:val="0"/>
        <w:adjustRightInd/>
        <w:snapToGrid/>
        <w:spacing w:line="600" w:lineRule="exact"/>
        <w:ind w:firstLine="640" w:firstLineChars="200"/>
        <w:textAlignment w:val="auto"/>
        <w:rPr>
          <w:rFonts w:hint="default" w:eastAsia="方正楷体简体"/>
          <w:color w:val="auto"/>
          <w:sz w:val="32"/>
          <w:szCs w:val="32"/>
          <w:lang w:val="en-US" w:eastAsia="zh-CN"/>
        </w:rPr>
      </w:pPr>
      <w:r>
        <w:rPr>
          <w:rFonts w:hint="eastAsia" w:eastAsia="方正黑体简体"/>
          <w:color w:val="auto"/>
          <w:sz w:val="32"/>
          <w:szCs w:val="32"/>
        </w:rPr>
        <w:t>十一、名词解释</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....7-9</w:t>
      </w:r>
    </w:p>
    <w:p>
      <w:pPr>
        <w:keepNext w:val="0"/>
        <w:keepLines w:val="0"/>
        <w:pageBreakBefore w:val="0"/>
        <w:widowControl w:val="0"/>
        <w:tabs>
          <w:tab w:val="right" w:leader="dot" w:pos="7272"/>
        </w:tabs>
        <w:kinsoku/>
        <w:wordWrap/>
        <w:overflowPunct/>
        <w:topLinePunct w:val="0"/>
        <w:autoSpaceDE/>
        <w:autoSpaceDN/>
        <w:bidi w:val="0"/>
        <w:adjustRightInd/>
        <w:snapToGrid/>
        <w:spacing w:line="590" w:lineRule="exact"/>
        <w:textAlignment w:val="auto"/>
        <w:rPr>
          <w:rFonts w:eastAsia="方正楷体简体"/>
          <w:b/>
          <w:color w:val="auto"/>
          <w:sz w:val="32"/>
          <w:szCs w:val="32"/>
        </w:rPr>
      </w:pPr>
    </w:p>
    <w:p>
      <w:pPr>
        <w:keepNext w:val="0"/>
        <w:keepLines w:val="0"/>
        <w:pageBreakBefore w:val="0"/>
        <w:widowControl w:val="0"/>
        <w:tabs>
          <w:tab w:val="right" w:leader="dot" w:pos="7272"/>
        </w:tabs>
        <w:kinsoku/>
        <w:wordWrap/>
        <w:overflowPunct/>
        <w:topLinePunct w:val="0"/>
        <w:autoSpaceDE/>
        <w:autoSpaceDN/>
        <w:bidi w:val="0"/>
        <w:adjustRightInd/>
        <w:snapToGrid/>
        <w:spacing w:line="590" w:lineRule="exact"/>
        <w:ind w:firstLine="640" w:firstLineChars="200"/>
        <w:textAlignment w:val="auto"/>
        <w:rPr>
          <w:rFonts w:eastAsia="方正仿宋简体"/>
          <w:color w:val="auto"/>
          <w:sz w:val="32"/>
          <w:szCs w:val="32"/>
        </w:rPr>
      </w:pPr>
      <w:r>
        <w:rPr>
          <w:rFonts w:eastAsia="方正仿宋简体"/>
          <w:color w:val="auto"/>
          <w:sz w:val="32"/>
          <w:szCs w:val="32"/>
        </w:rPr>
        <w:t>附件：202</w:t>
      </w:r>
      <w:r>
        <w:rPr>
          <w:rFonts w:hint="eastAsia" w:eastAsia="方正仿宋简体"/>
          <w:color w:val="auto"/>
          <w:sz w:val="32"/>
          <w:szCs w:val="32"/>
          <w:lang w:val="en-US" w:eastAsia="zh-CN"/>
        </w:rPr>
        <w:t>5</w:t>
      </w:r>
      <w:r>
        <w:rPr>
          <w:rFonts w:eastAsia="方正仿宋简体"/>
          <w:color w:val="auto"/>
          <w:sz w:val="32"/>
          <w:szCs w:val="32"/>
        </w:rPr>
        <w:t>年</w:t>
      </w:r>
      <w:r>
        <w:rPr>
          <w:rFonts w:hint="eastAsia" w:eastAsia="方正仿宋简体"/>
          <w:color w:val="auto"/>
          <w:sz w:val="32"/>
          <w:szCs w:val="32"/>
        </w:rPr>
        <w:t>单位</w:t>
      </w:r>
      <w:r>
        <w:rPr>
          <w:rFonts w:eastAsia="方正仿宋简体"/>
          <w:color w:val="auto"/>
          <w:sz w:val="32"/>
          <w:szCs w:val="32"/>
        </w:rPr>
        <w:t>预算公开表</w:t>
      </w:r>
    </w:p>
    <w:p>
      <w:pPr>
        <w:ind w:firstLine="420" w:firstLineChars="200"/>
        <w:rPr>
          <w:color w:val="auto"/>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640" w:firstLineChars="200"/>
        <w:outlineLvl w:val="0"/>
        <w:rPr>
          <w:rFonts w:eastAsia="黑体"/>
          <w:color w:val="auto"/>
          <w:sz w:val="32"/>
          <w:szCs w:val="32"/>
        </w:rPr>
        <w:sectPr>
          <w:footerReference r:id="rId3" w:type="default"/>
          <w:pgSz w:w="11906" w:h="16838"/>
          <w:pgMar w:top="1440" w:right="1588" w:bottom="1440" w:left="1588" w:header="851" w:footer="992" w:gutter="0"/>
          <w:pgNumType w:fmt="decimal" w:start="1"/>
          <w:cols w:space="720" w:num="1"/>
          <w:docGrid w:type="lines" w:linePitch="312" w:charSpace="0"/>
        </w:sectPr>
      </w:pPr>
    </w:p>
    <w:p>
      <w:pPr>
        <w:spacing w:line="600" w:lineRule="exact"/>
        <w:ind w:firstLine="640" w:firstLineChars="200"/>
        <w:outlineLvl w:val="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一、基本职能及主要工作</w:t>
      </w:r>
    </w:p>
    <w:p>
      <w:pPr>
        <w:spacing w:line="600" w:lineRule="exact"/>
        <w:ind w:left="596" w:leftChars="284"/>
        <w:outlineLvl w:val="1"/>
        <w:rPr>
          <w:rFonts w:hint="eastAsia" w:ascii="CESI宋体-GB18030" w:hAnsi="CESI宋体-GB18030" w:eastAsia="方正楷体_GBK" w:cs="方正楷体_GBK"/>
          <w:color w:val="auto"/>
          <w:sz w:val="32"/>
          <w:szCs w:val="32"/>
        </w:rPr>
      </w:pPr>
      <w:r>
        <w:rPr>
          <w:rFonts w:hint="eastAsia" w:ascii="CESI宋体-GB18030" w:hAnsi="CESI宋体-GB18030" w:eastAsia="方正楷体_GBK" w:cs="方正楷体_GBK"/>
          <w:b/>
          <w:color w:val="auto"/>
          <w:sz w:val="32"/>
          <w:szCs w:val="32"/>
        </w:rPr>
        <w:t>（一）职能简介</w:t>
      </w:r>
    </w:p>
    <w:p>
      <w:pPr>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1.依法独立行使审判权，在县委的领导和上级人民法院的监督和指导下，对县人民代表大会及其常务委员会负责并报告工作</w:t>
      </w:r>
      <w:r>
        <w:rPr>
          <w:rFonts w:hint="eastAsia" w:ascii="CESI宋体-GB18030" w:hAnsi="CESI宋体-GB18030" w:eastAsia="方正仿宋_GBK" w:cs="方正仿宋_GBK"/>
          <w:color w:val="auto"/>
          <w:sz w:val="32"/>
          <w:szCs w:val="32"/>
          <w:lang w:eastAsia="zh-CN"/>
        </w:rPr>
        <w:t>。</w:t>
      </w:r>
    </w:p>
    <w:p>
      <w:pPr>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2.依法审理和执行本院管辖的民商事、刑事、行政等案件和上级人民法院指定审判的案件</w:t>
      </w:r>
      <w:r>
        <w:rPr>
          <w:rFonts w:hint="eastAsia" w:ascii="CESI宋体-GB18030" w:hAnsi="CESI宋体-GB18030" w:eastAsia="方正仿宋_GBK" w:cs="方正仿宋_GBK"/>
          <w:color w:val="auto"/>
          <w:sz w:val="32"/>
          <w:szCs w:val="32"/>
          <w:lang w:eastAsia="zh-CN"/>
        </w:rPr>
        <w:t>。</w:t>
      </w:r>
    </w:p>
    <w:p>
      <w:pPr>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3.执行本院已经发生法律效力的法律文书和法律规定由本院执行的其他生效法律文书及委托执行案件</w:t>
      </w:r>
      <w:r>
        <w:rPr>
          <w:rFonts w:hint="eastAsia" w:ascii="CESI宋体-GB18030" w:hAnsi="CESI宋体-GB18030" w:eastAsia="方正仿宋_GBK" w:cs="方正仿宋_GBK"/>
          <w:color w:val="auto"/>
          <w:sz w:val="32"/>
          <w:szCs w:val="32"/>
          <w:lang w:eastAsia="zh-CN"/>
        </w:rPr>
        <w:t>。</w:t>
      </w:r>
    </w:p>
    <w:p>
      <w:pPr>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4.惩办一切犯罪分子，解决民事争议，保卫国家安全，维护社会秩序和经济秩序，保障社会主义建设事业的顺利进行。</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（二）202</w:t>
      </w:r>
      <w:r>
        <w:rPr>
          <w:rFonts w:hint="eastAsia" w:ascii="CESI宋体-GB18030" w:hAnsi="CESI宋体-GB18030" w:eastAsia="方正楷体_GBK" w:cs="方正楷体_GBK"/>
          <w:b/>
          <w:color w:val="auto"/>
          <w:sz w:val="32"/>
          <w:szCs w:val="32"/>
          <w:lang w:val="en-US" w:eastAsia="zh-CN"/>
        </w:rPr>
        <w:t>5</w:t>
      </w:r>
      <w:r>
        <w:rPr>
          <w:rFonts w:hint="eastAsia" w:ascii="CESI宋体-GB18030" w:hAnsi="CESI宋体-GB18030" w:eastAsia="方正楷体_GBK" w:cs="方正楷体_GBK"/>
          <w:b/>
          <w:color w:val="auto"/>
          <w:sz w:val="32"/>
          <w:szCs w:val="32"/>
        </w:rPr>
        <w:t>年重点工作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CESI宋体-GB18030" w:hAnsi="CESI宋体-GB18030" w:eastAsia="方正仿宋_GBK" w:cs="方正仿宋_GBK"/>
          <w:color w:val="auto"/>
          <w:sz w:val="32"/>
          <w:szCs w:val="32"/>
          <w:shd w:val="clear" w:color="auto" w:fill="FFFFFF"/>
        </w:rPr>
      </w:pPr>
      <w:r>
        <w:rPr>
          <w:rFonts w:hint="eastAsia" w:ascii="CESI宋体-GB18030" w:hAnsi="CESI宋体-GB18030" w:eastAsia="方正仿宋_GBK" w:cs="方正仿宋_GBK"/>
          <w:sz w:val="32"/>
          <w:szCs w:val="32"/>
          <w:lang w:val="en-US" w:eastAsia="zh-CN"/>
        </w:rPr>
        <w:t>1.</w:t>
      </w:r>
      <w:r>
        <w:rPr>
          <w:rFonts w:hint="eastAsia" w:ascii="CESI宋体-GB18030" w:hAnsi="CESI宋体-GB18030" w:eastAsia="方正仿宋_GBK" w:cs="方正仿宋_GBK"/>
          <w:i w:val="0"/>
          <w:iCs w:val="0"/>
          <w:caps w:val="0"/>
          <w:color w:val="auto"/>
          <w:spacing w:val="0"/>
          <w:kern w:val="2"/>
          <w:sz w:val="32"/>
          <w:szCs w:val="32"/>
          <w:highlight w:val="none"/>
          <w:shd w:val="clear" w:color="auto" w:fill="FFFFFF"/>
          <w:lang w:val="en-US" w:eastAsia="zh-CN" w:bidi="ar-SA"/>
        </w:rPr>
        <w:t>坚持把科学理论武装作为首要任务，把旗帜鲜明讲政治作为根本要求。</w:t>
      </w:r>
      <w:r>
        <w:rPr>
          <w:rFonts w:hint="eastAsia" w:ascii="CESI宋体-GB18030" w:hAnsi="CESI宋体-GB18030" w:eastAsia="方正仿宋_GBK" w:cs="方正仿宋_GBK"/>
          <w:color w:val="000000"/>
          <w:spacing w:val="0"/>
          <w:w w:val="100"/>
          <w:sz w:val="32"/>
          <w:szCs w:val="32"/>
          <w:u w:val="none"/>
          <w:lang w:val="en-US" w:eastAsia="zh-CN"/>
        </w:rPr>
        <w:t>严格执行重大事项请示报告制度，</w:t>
      </w:r>
      <w:r>
        <w:rPr>
          <w:rFonts w:hint="eastAsia" w:ascii="CESI宋体-GB18030" w:hAnsi="CESI宋体-GB18030" w:eastAsia="方正仿宋_GBK" w:cs="方正仿宋_GBK"/>
          <w:color w:val="000000"/>
          <w:spacing w:val="0"/>
          <w:w w:val="100"/>
          <w:sz w:val="32"/>
          <w:szCs w:val="32"/>
          <w:lang w:val="en-US" w:eastAsia="zh-CN"/>
        </w:rPr>
        <w:t>不折不扣落实党的决策部署。</w:t>
      </w:r>
      <w:r>
        <w:rPr>
          <w:rFonts w:hint="eastAsia" w:ascii="CESI宋体-GB18030" w:hAnsi="CESI宋体-GB18030" w:eastAsia="方正仿宋_GBK" w:cs="方正仿宋_GBK"/>
          <w:i w:val="0"/>
          <w:iCs w:val="0"/>
          <w:caps w:val="0"/>
          <w:color w:val="auto"/>
          <w:spacing w:val="0"/>
          <w:kern w:val="2"/>
          <w:sz w:val="32"/>
          <w:szCs w:val="32"/>
          <w:highlight w:val="none"/>
          <w:shd w:val="clear" w:color="auto" w:fill="FFFFFF"/>
          <w:lang w:val="en-US" w:eastAsia="zh-CN" w:bidi="ar-SA"/>
        </w:rPr>
        <w:t>牢牢坚持党对法院工作的绝对领导，全面落实意识形态工作责任制，始终在思想上政治上行动上同以习近平同志为核心的党中央保持高度一致。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CESI宋体-GB18030" w:hAnsi="CESI宋体-GB18030" w:eastAsia="方正仿宋_GBK" w:cs="方正仿宋_GBK"/>
          <w:spacing w:val="0"/>
          <w:w w:val="100"/>
          <w:sz w:val="32"/>
          <w:szCs w:val="32"/>
          <w:lang w:val="en-US" w:eastAsia="zh-CN"/>
        </w:rPr>
      </w:pPr>
      <w:r>
        <w:rPr>
          <w:rFonts w:hint="eastAsia" w:ascii="CESI宋体-GB18030" w:hAnsi="CESI宋体-GB18030" w:eastAsia="方正仿宋_GBK" w:cs="方正仿宋_GBK"/>
          <w:sz w:val="32"/>
          <w:szCs w:val="32"/>
          <w:lang w:val="en-US" w:eastAsia="zh-CN"/>
        </w:rPr>
        <w:t>2.</w:t>
      </w:r>
      <w:r>
        <w:rPr>
          <w:rFonts w:hint="eastAsia" w:ascii="CESI宋体-GB18030" w:hAnsi="CESI宋体-GB18030" w:eastAsia="方正仿宋_GBK" w:cs="方正仿宋_GBK"/>
          <w:spacing w:val="0"/>
          <w:w w:val="100"/>
          <w:sz w:val="32"/>
          <w:szCs w:val="32"/>
          <w:lang w:val="en-US" w:eastAsia="zh-CN"/>
        </w:rPr>
        <w:t>始终胸怀全局、提振审判格局，紧紧围绕县委决策部署和全县发展大局，统筹抓好审判执行工作和护航高质量发展。加大问题楼盘、拆迁安置等历史遗留问题化解力度，服务保障成渝地区双城经济圈建设、新质生产力发展等战略落地落实。持续擦亮司法服务品牌，走出具有安岳特色的审判服务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both"/>
        <w:textAlignment w:val="auto"/>
        <w:rPr>
          <w:rFonts w:hint="eastAsia" w:ascii="CESI宋体-GB18030" w:hAnsi="CESI宋体-GB18030"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宋体-GB18030" w:hAnsi="CESI宋体-GB18030" w:eastAsia="方正仿宋_GBK" w:cs="方正仿宋_GBK"/>
          <w:spacing w:val="0"/>
          <w:w w:val="100"/>
          <w:sz w:val="32"/>
          <w:szCs w:val="32"/>
          <w:lang w:val="en-US" w:eastAsia="zh-CN"/>
        </w:rPr>
      </w:pPr>
      <w:r>
        <w:rPr>
          <w:rFonts w:hint="eastAsia" w:ascii="CESI宋体-GB18030" w:hAnsi="CESI宋体-GB18030" w:eastAsia="方正仿宋_GBK" w:cs="方正仿宋_GBK"/>
          <w:spacing w:val="0"/>
          <w:w w:val="100"/>
          <w:sz w:val="32"/>
          <w:szCs w:val="32"/>
          <w:lang w:val="en-US" w:eastAsia="zh-CN"/>
        </w:rPr>
        <w:t>3.着重加强民生权益司法保障，提升化解矛盾纠纷、服务人民群众的能力和水平。严厉打击电信诈骗、养老诈骗等涉众型经济犯罪，加强妇女儿童、老年人等特殊群体权益保护。注重强基导向，不断提升人民法庭建设水平和基层司法能力。高标准建设现代化诉讼服务体系，不断满足人民群众对公平正义的更高需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宋体-GB18030" w:hAnsi="CESI宋体-GB18030" w:eastAsia="方正仿宋_GBK" w:cs="方正仿宋_GBK"/>
          <w:spacing w:val="0"/>
          <w:w w:val="100"/>
          <w:sz w:val="32"/>
          <w:szCs w:val="32"/>
          <w:lang w:val="en-US" w:eastAsia="zh-CN"/>
        </w:rPr>
      </w:pPr>
      <w:r>
        <w:rPr>
          <w:rFonts w:hint="eastAsia" w:ascii="CESI宋体-GB18030" w:hAnsi="CESI宋体-GB18030" w:eastAsia="方正仿宋_GBK" w:cs="方正仿宋_GBK"/>
          <w:spacing w:val="0"/>
          <w:w w:val="100"/>
          <w:sz w:val="32"/>
          <w:szCs w:val="32"/>
          <w:lang w:val="en-US" w:eastAsia="zh-CN"/>
        </w:rPr>
        <w:t>4.深化司法体制综合配套改革，全面准确落实司法责任制，推进审判理念、审判机制、审判体系、审判管理现代化。规范司法权力运行，强化对审判执行的制约监督。深化科技与司法的融合对接，提升无纸化办公办案效率，加快建设智慧法院，实现更高水平的数字正义。</w:t>
      </w:r>
    </w:p>
    <w:p>
      <w:pPr>
        <w:keepNext w:val="0"/>
        <w:keepLines w:val="0"/>
        <w:widowControl/>
        <w:suppressLineNumbers w:val="0"/>
        <w:spacing w:line="600" w:lineRule="exact"/>
        <w:ind w:firstLine="640" w:firstLineChars="200"/>
        <w:jc w:val="left"/>
        <w:rPr>
          <w:rFonts w:hint="eastAsia" w:ascii="CESI宋体-GB18030" w:hAnsi="CESI宋体-GB18030" w:eastAsia="方正仿宋_GBK" w:cs="方正仿宋_GBK"/>
          <w:sz w:val="32"/>
          <w:szCs w:val="32"/>
        </w:rPr>
      </w:pPr>
      <w:r>
        <w:rPr>
          <w:rFonts w:hint="eastAsia" w:ascii="CESI宋体-GB18030" w:hAnsi="CESI宋体-GB18030" w:eastAsia="方正仿宋_GBK" w:cs="方正仿宋_GBK"/>
          <w:spacing w:val="0"/>
          <w:w w:val="100"/>
          <w:kern w:val="2"/>
          <w:sz w:val="32"/>
          <w:szCs w:val="32"/>
          <w:lang w:val="en-US" w:eastAsia="zh-CN" w:bidi="ar-SA"/>
        </w:rPr>
        <w:t>5.大力实施党建引领工程，促进党建与审判业务工作深度融合。全力优化干部结构，全速提升干警履职能力。竭力推进文化建设，春风化雨推进法官自信、职业共信、社会公信。以自我革命精神推进党风廉政建设和反腐败斗争，</w:t>
      </w:r>
      <w:r>
        <w:rPr>
          <w:rFonts w:hint="eastAsia" w:ascii="CESI宋体-GB18030" w:hAnsi="CESI宋体-GB18030" w:eastAsia="方正仿宋_GBK" w:cs="方正仿宋_GBK"/>
          <w:kern w:val="2"/>
          <w:sz w:val="32"/>
          <w:szCs w:val="32"/>
          <w:lang w:val="en-US" w:eastAsia="zh-CN" w:bidi="ar-SA"/>
        </w:rPr>
        <w:t>坚持不懈把全面从严治党向纵深推进。</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二、单位预算单位构成</w:t>
      </w:r>
    </w:p>
    <w:p>
      <w:pPr>
        <w:ind w:firstLine="640" w:firstLineChars="200"/>
        <w:rPr>
          <w:rFonts w:hint="eastAsia" w:ascii="CESI宋体-GB18030" w:hAnsi="CESI宋体-GB18030" w:eastAsia="方正仿宋_GBK" w:cs="方正仿宋_GBK"/>
          <w:color w:val="auto"/>
          <w:kern w:val="2"/>
          <w:sz w:val="32"/>
          <w:szCs w:val="32"/>
        </w:rPr>
      </w:pPr>
      <w:r>
        <w:rPr>
          <w:rFonts w:hint="eastAsia" w:ascii="CESI宋体-GB18030" w:hAnsi="CESI宋体-GB18030" w:eastAsia="方正仿宋_GBK" w:cs="方正仿宋_GBK"/>
          <w:color w:val="auto"/>
          <w:sz w:val="32"/>
          <w:szCs w:val="32"/>
          <w:lang w:eastAsia="zh-CN"/>
        </w:rPr>
        <w:t>安岳县人民法院</w:t>
      </w:r>
      <w:r>
        <w:rPr>
          <w:rFonts w:hint="eastAsia" w:ascii="CESI宋体-GB18030" w:hAnsi="CESI宋体-GB18030" w:eastAsia="方正仿宋_GBK" w:cs="方正仿宋_GBK"/>
          <w:color w:val="auto"/>
          <w:sz w:val="32"/>
          <w:szCs w:val="32"/>
        </w:rPr>
        <w:t>属二级预算单位</w:t>
      </w:r>
      <w:r>
        <w:rPr>
          <w:rFonts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rPr>
        <w:t>下设科室</w:t>
      </w:r>
      <w:r>
        <w:rPr>
          <w:rFonts w:hint="eastAsia" w:ascii="CESI宋体-GB18030" w:hAnsi="CESI宋体-GB18030" w:eastAsia="方正仿宋_GBK" w:cs="方正仿宋_GBK"/>
          <w:color w:val="auto"/>
          <w:sz w:val="32"/>
          <w:szCs w:val="32"/>
          <w:lang w:val="en-US" w:eastAsia="zh-CN"/>
        </w:rPr>
        <w:t>11</w:t>
      </w:r>
      <w:r>
        <w:rPr>
          <w:rFonts w:ascii="CESI宋体-GB18030" w:hAnsi="CESI宋体-GB18030" w:eastAsia="方正仿宋_GBK" w:cs="方正仿宋_GBK"/>
          <w:color w:val="auto"/>
          <w:sz w:val="32"/>
          <w:szCs w:val="32"/>
        </w:rPr>
        <w:t>个</w:t>
      </w:r>
      <w:r>
        <w:rPr>
          <w:rFonts w:hint="eastAsia" w:ascii="CESI宋体-GB18030" w:hAnsi="CESI宋体-GB18030" w:eastAsia="方正仿宋_GBK" w:cs="方正仿宋_GBK"/>
          <w:color w:val="auto"/>
          <w:sz w:val="32"/>
          <w:szCs w:val="32"/>
        </w:rPr>
        <w:t>，主要包括</w:t>
      </w:r>
      <w:r>
        <w:rPr>
          <w:rFonts w:hint="eastAsia" w:ascii="CESI宋体-GB18030" w:hAnsi="CESI宋体-GB18030" w:eastAsia="方正仿宋_GBK" w:cs="方正仿宋_GBK"/>
          <w:color w:val="auto"/>
          <w:kern w:val="2"/>
          <w:sz w:val="32"/>
          <w:szCs w:val="32"/>
          <w:lang w:val="en-US" w:eastAsia="zh-CN" w:bidi="ar"/>
        </w:rPr>
        <w:t>综合办公室、政治部（督察室）、刑事审判庭、行政庭（综合审判庭）、立案庭（诉讼服务中心）、民事审判第一庭、民事审判第二庭、审判管理办公室（研究室）、未成年人与家事案件审判庭、执行局、司法警察大队。派出机构为11个法庭，分别为李家人民法庭、龙台人民法庭、驯龙人民法庭、永清人民法庭、周礼人民法庭、镇子人民法庭、通贤人民法庭、兴隆人民法庭、石羊人民法庭、岳阳人民法庭、经济开发区人民法庭。</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三、收支预算情况说明</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按照综合预算的原则，安岳县人民法院</w:t>
      </w:r>
      <w:r>
        <w:rPr>
          <w:rFonts w:hint="eastAsia" w:ascii="CESI宋体-GB18030" w:hAnsi="CESI宋体-GB18030" w:eastAsia="方正仿宋_GBK" w:cs="方正仿宋_GBK"/>
          <w:color w:val="auto"/>
          <w:sz w:val="32"/>
          <w:szCs w:val="32"/>
          <w:lang w:eastAsia="zh-CN"/>
        </w:rPr>
        <w:t>单位</w:t>
      </w:r>
      <w:r>
        <w:rPr>
          <w:rFonts w:hint="eastAsia" w:ascii="CESI宋体-GB18030" w:hAnsi="CESI宋体-GB18030" w:eastAsia="方正仿宋_GBK" w:cs="方正仿宋_GBK"/>
          <w:color w:val="auto"/>
          <w:sz w:val="32"/>
          <w:szCs w:val="32"/>
        </w:rPr>
        <w:t>所有收入和支出均纳入</w:t>
      </w:r>
      <w:r>
        <w:rPr>
          <w:rFonts w:hint="eastAsia" w:ascii="CESI宋体-GB18030" w:hAnsi="CESI宋体-GB18030" w:eastAsia="方正仿宋_GBK" w:cs="方正仿宋_GBK"/>
          <w:color w:val="auto"/>
          <w:sz w:val="32"/>
          <w:szCs w:val="32"/>
          <w:lang w:eastAsia="zh-CN"/>
        </w:rPr>
        <w:t>单位</w:t>
      </w:r>
      <w:r>
        <w:rPr>
          <w:rFonts w:hint="eastAsia" w:ascii="CESI宋体-GB18030" w:hAnsi="CESI宋体-GB18030" w:eastAsia="方正仿宋_GBK" w:cs="方正仿宋_GBK"/>
          <w:color w:val="auto"/>
          <w:sz w:val="32"/>
          <w:szCs w:val="32"/>
        </w:rPr>
        <w:t>预算管理。收入包括：收入包括：一般公共预算拨款收入；支出包括：公共安全支出、社会保障和就业支出、卫生健康支出、住房保障支出。</w:t>
      </w: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年收支总预算</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万元，比202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年收支预算总数减少</w:t>
      </w:r>
      <w:r>
        <w:rPr>
          <w:rFonts w:hint="eastAsia" w:ascii="CESI宋体-GB18030" w:hAnsi="CESI宋体-GB18030" w:eastAsia="方正仿宋_GBK" w:cs="方正仿宋_GBK"/>
          <w:color w:val="auto"/>
          <w:sz w:val="32"/>
          <w:szCs w:val="32"/>
          <w:lang w:val="en-US" w:eastAsia="zh-CN"/>
        </w:rPr>
        <w:t>182.89</w:t>
      </w:r>
      <w:r>
        <w:rPr>
          <w:rFonts w:hint="eastAsia" w:ascii="CESI宋体-GB18030" w:hAnsi="CESI宋体-GB18030" w:eastAsia="方正仿宋_GBK" w:cs="方正仿宋_GBK"/>
          <w:color w:val="auto"/>
          <w:sz w:val="32"/>
          <w:szCs w:val="32"/>
        </w:rPr>
        <w:t>万元，主要原因是</w:t>
      </w:r>
      <w:r>
        <w:rPr>
          <w:rFonts w:hint="eastAsia" w:ascii="CESI宋体-GB18030" w:hAnsi="CESI宋体-GB18030" w:eastAsia="方正仿宋_GBK" w:cs="方正仿宋_GBK"/>
          <w:color w:val="auto"/>
          <w:sz w:val="32"/>
          <w:szCs w:val="32"/>
          <w:lang w:val="en-US" w:eastAsia="zh-CN"/>
        </w:rPr>
        <w:t>2025年</w:t>
      </w:r>
      <w:r>
        <w:rPr>
          <w:rFonts w:hint="eastAsia" w:ascii="CESI宋体-GB18030" w:hAnsi="CESI宋体-GB18030" w:eastAsia="方正仿宋_GBK" w:cs="方正仿宋_GBK"/>
          <w:color w:val="auto"/>
          <w:sz w:val="32"/>
          <w:szCs w:val="32"/>
        </w:rPr>
        <w:t>非税收支安排</w:t>
      </w:r>
      <w:r>
        <w:rPr>
          <w:rFonts w:hint="eastAsia" w:ascii="CESI宋体-GB18030" w:hAnsi="CESI宋体-GB18030" w:eastAsia="方正仿宋_GBK" w:cs="方正仿宋_GBK"/>
          <w:color w:val="auto"/>
          <w:sz w:val="32"/>
          <w:szCs w:val="32"/>
          <w:lang w:eastAsia="zh-CN"/>
        </w:rPr>
        <w:t>预算</w:t>
      </w:r>
      <w:r>
        <w:rPr>
          <w:rFonts w:hint="eastAsia" w:ascii="CESI宋体-GB18030" w:hAnsi="CESI宋体-GB18030" w:eastAsia="方正仿宋_GBK" w:cs="方正仿宋_GBK"/>
          <w:color w:val="auto"/>
          <w:sz w:val="32"/>
          <w:szCs w:val="32"/>
        </w:rPr>
        <w:t>项目支出</w:t>
      </w:r>
      <w:r>
        <w:rPr>
          <w:rFonts w:hint="eastAsia" w:ascii="CESI宋体-GB18030" w:hAnsi="CESI宋体-GB18030" w:eastAsia="方正仿宋_GBK" w:cs="方正仿宋_GBK"/>
          <w:color w:val="auto"/>
          <w:sz w:val="32"/>
          <w:szCs w:val="32"/>
          <w:lang w:eastAsia="zh-CN"/>
        </w:rPr>
        <w:t>减少</w:t>
      </w:r>
      <w:r>
        <w:rPr>
          <w:rFonts w:hint="eastAsia" w:ascii="CESI宋体-GB18030" w:hAnsi="CESI宋体-GB18030" w:eastAsia="方正仿宋_GBK" w:cs="方正仿宋_GBK"/>
          <w:color w:val="auto"/>
          <w:sz w:val="32"/>
          <w:szCs w:val="32"/>
        </w:rPr>
        <w:t>。</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（一）收入预算情况</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年收入预算</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万元，其中：一般公共预算拨款收入</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100</w:t>
      </w:r>
      <w:r>
        <w:rPr>
          <w:rFonts w:hint="eastAsia" w:ascii="CESI宋体-GB18030" w:hAnsi="CESI宋体-GB18030" w:eastAsia="方正仿宋_GBK" w:cs="方正仿宋_GBK"/>
          <w:color w:val="auto"/>
          <w:sz w:val="32"/>
          <w:szCs w:val="32"/>
        </w:rPr>
        <w:t>%。</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（二）支出预算情况</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年支出预算</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万元，其中：基本支出</w:t>
      </w:r>
      <w:r>
        <w:rPr>
          <w:rFonts w:hint="eastAsia" w:ascii="CESI宋体-GB18030" w:hAnsi="CESI宋体-GB18030" w:eastAsia="方正仿宋_GBK" w:cs="方正仿宋_GBK"/>
          <w:color w:val="auto"/>
          <w:sz w:val="32"/>
          <w:szCs w:val="32"/>
          <w:lang w:val="en-US" w:eastAsia="zh-CN"/>
        </w:rPr>
        <w:t>3210.11</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99</w:t>
      </w:r>
      <w:r>
        <w:rPr>
          <w:rFonts w:hint="eastAsia" w:ascii="CESI宋体-GB18030" w:hAnsi="CESI宋体-GB18030" w:eastAsia="方正仿宋_GBK" w:cs="方正仿宋_GBK"/>
          <w:color w:val="auto"/>
          <w:sz w:val="32"/>
          <w:szCs w:val="32"/>
        </w:rPr>
        <w:t>%；项目支出</w:t>
      </w:r>
      <w:r>
        <w:rPr>
          <w:rFonts w:hint="eastAsia" w:ascii="CESI宋体-GB18030" w:hAnsi="CESI宋体-GB18030" w:eastAsia="方正仿宋_GBK" w:cs="方正仿宋_GBK"/>
          <w:color w:val="auto"/>
          <w:sz w:val="32"/>
          <w:szCs w:val="32"/>
          <w:lang w:val="en-US" w:eastAsia="zh-CN"/>
        </w:rPr>
        <w:t>28</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1</w:t>
      </w:r>
      <w:r>
        <w:rPr>
          <w:rFonts w:hint="eastAsia" w:ascii="CESI宋体-GB18030" w:hAnsi="CESI宋体-GB18030" w:eastAsia="方正仿宋_GBK" w:cs="方正仿宋_GBK"/>
          <w:color w:val="auto"/>
          <w:sz w:val="32"/>
          <w:szCs w:val="32"/>
        </w:rPr>
        <w:t>%。</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四、财政拨款收支预算情况说明</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年财政拨款收支总预算</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万元，比202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年财政拨款收支总预算减少</w:t>
      </w:r>
      <w:r>
        <w:rPr>
          <w:rFonts w:hint="eastAsia" w:ascii="CESI宋体-GB18030" w:hAnsi="CESI宋体-GB18030" w:eastAsia="方正仿宋_GBK" w:cs="方正仿宋_GBK"/>
          <w:color w:val="auto"/>
          <w:sz w:val="32"/>
          <w:szCs w:val="32"/>
          <w:lang w:val="en-US" w:eastAsia="zh-CN"/>
        </w:rPr>
        <w:t>182.89</w:t>
      </w:r>
      <w:r>
        <w:rPr>
          <w:rFonts w:hint="eastAsia" w:ascii="CESI宋体-GB18030" w:hAnsi="CESI宋体-GB18030" w:eastAsia="方正仿宋_GBK" w:cs="方正仿宋_GBK"/>
          <w:color w:val="auto"/>
          <w:sz w:val="32"/>
          <w:szCs w:val="32"/>
        </w:rPr>
        <w:t>万元，主要原因是</w:t>
      </w:r>
      <w:r>
        <w:rPr>
          <w:rFonts w:hint="eastAsia" w:ascii="CESI宋体-GB18030" w:hAnsi="CESI宋体-GB18030" w:eastAsia="方正仿宋_GBK" w:cs="方正仿宋_GBK"/>
          <w:color w:val="auto"/>
          <w:sz w:val="32"/>
          <w:szCs w:val="32"/>
          <w:lang w:val="en-US" w:eastAsia="zh-CN"/>
        </w:rPr>
        <w:t>2025年</w:t>
      </w:r>
      <w:r>
        <w:rPr>
          <w:rFonts w:hint="eastAsia" w:ascii="CESI宋体-GB18030" w:hAnsi="CESI宋体-GB18030" w:eastAsia="方正仿宋_GBK" w:cs="方正仿宋_GBK"/>
          <w:color w:val="auto"/>
          <w:sz w:val="32"/>
          <w:szCs w:val="32"/>
        </w:rPr>
        <w:t>非税收支安排</w:t>
      </w:r>
      <w:r>
        <w:rPr>
          <w:rFonts w:hint="eastAsia" w:ascii="CESI宋体-GB18030" w:hAnsi="CESI宋体-GB18030" w:eastAsia="方正仿宋_GBK" w:cs="方正仿宋_GBK"/>
          <w:color w:val="auto"/>
          <w:sz w:val="32"/>
          <w:szCs w:val="32"/>
          <w:lang w:eastAsia="zh-CN"/>
        </w:rPr>
        <w:t>预算</w:t>
      </w:r>
      <w:r>
        <w:rPr>
          <w:rFonts w:hint="eastAsia" w:ascii="CESI宋体-GB18030" w:hAnsi="CESI宋体-GB18030" w:eastAsia="方正仿宋_GBK" w:cs="方正仿宋_GBK"/>
          <w:color w:val="auto"/>
          <w:sz w:val="32"/>
          <w:szCs w:val="32"/>
        </w:rPr>
        <w:t>项目支出</w:t>
      </w:r>
      <w:r>
        <w:rPr>
          <w:rFonts w:hint="eastAsia" w:ascii="CESI宋体-GB18030" w:hAnsi="CESI宋体-GB18030" w:eastAsia="方正仿宋_GBK" w:cs="方正仿宋_GBK"/>
          <w:color w:val="auto"/>
          <w:sz w:val="32"/>
          <w:szCs w:val="32"/>
          <w:lang w:eastAsia="zh-CN"/>
        </w:rPr>
        <w:t>减少</w:t>
      </w:r>
      <w:r>
        <w:rPr>
          <w:rFonts w:hint="eastAsia" w:ascii="CESI宋体-GB18030" w:hAnsi="CESI宋体-GB18030" w:eastAsia="方正仿宋_GBK" w:cs="方正仿宋_GBK"/>
          <w:color w:val="auto"/>
          <w:sz w:val="32"/>
          <w:szCs w:val="32"/>
        </w:rPr>
        <w:t>。</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收入包括：本年一般公共预算拨款收入</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万元；支出包括：公共安全支出</w:t>
      </w:r>
      <w:r>
        <w:rPr>
          <w:rFonts w:hint="eastAsia" w:ascii="CESI宋体-GB18030" w:hAnsi="CESI宋体-GB18030" w:eastAsia="方正仿宋_GBK" w:cs="方正仿宋_GBK"/>
          <w:color w:val="auto"/>
          <w:sz w:val="32"/>
          <w:szCs w:val="32"/>
          <w:lang w:val="en-US" w:eastAsia="zh-CN"/>
        </w:rPr>
        <w:t>2505.66</w:t>
      </w:r>
      <w:r>
        <w:rPr>
          <w:rFonts w:hint="eastAsia" w:ascii="CESI宋体-GB18030" w:hAnsi="CESI宋体-GB18030" w:eastAsia="方正仿宋_GBK" w:cs="方正仿宋_GBK"/>
          <w:color w:val="auto"/>
          <w:sz w:val="32"/>
          <w:szCs w:val="32"/>
        </w:rPr>
        <w:t>万元、社会保障和就业支出</w:t>
      </w:r>
      <w:r>
        <w:rPr>
          <w:rFonts w:hint="eastAsia" w:ascii="CESI宋体-GB18030" w:hAnsi="CESI宋体-GB18030" w:eastAsia="方正仿宋_GBK" w:cs="方正仿宋_GBK"/>
          <w:color w:val="auto"/>
          <w:sz w:val="32"/>
          <w:szCs w:val="32"/>
          <w:lang w:val="en-US" w:eastAsia="zh-CN"/>
        </w:rPr>
        <w:t>244.47</w:t>
      </w:r>
      <w:r>
        <w:rPr>
          <w:rFonts w:hint="eastAsia" w:ascii="CESI宋体-GB18030" w:hAnsi="CESI宋体-GB18030" w:eastAsia="方正仿宋_GBK" w:cs="方正仿宋_GBK"/>
          <w:color w:val="auto"/>
          <w:sz w:val="32"/>
          <w:szCs w:val="32"/>
        </w:rPr>
        <w:t>万元、卫生健康支出</w:t>
      </w:r>
      <w:r>
        <w:rPr>
          <w:rFonts w:hint="eastAsia" w:ascii="CESI宋体-GB18030" w:hAnsi="CESI宋体-GB18030" w:eastAsia="方正仿宋_GBK" w:cs="方正仿宋_GBK"/>
          <w:color w:val="auto"/>
          <w:sz w:val="32"/>
          <w:szCs w:val="32"/>
          <w:lang w:val="en-US" w:eastAsia="zh-CN"/>
        </w:rPr>
        <w:t>171.43</w:t>
      </w:r>
      <w:r>
        <w:rPr>
          <w:rFonts w:hint="eastAsia" w:ascii="CESI宋体-GB18030" w:hAnsi="CESI宋体-GB18030" w:eastAsia="方正仿宋_GBK" w:cs="方正仿宋_GBK"/>
          <w:color w:val="auto"/>
          <w:sz w:val="32"/>
          <w:szCs w:val="32"/>
        </w:rPr>
        <w:t>万元、住房保障支出</w:t>
      </w:r>
      <w:r>
        <w:rPr>
          <w:rFonts w:hint="eastAsia" w:ascii="CESI宋体-GB18030" w:hAnsi="CESI宋体-GB18030" w:eastAsia="方正仿宋_GBK" w:cs="方正仿宋_GBK"/>
          <w:color w:val="auto"/>
          <w:sz w:val="32"/>
          <w:szCs w:val="32"/>
          <w:lang w:val="en-US" w:eastAsia="zh-CN"/>
        </w:rPr>
        <w:t>316.55</w:t>
      </w:r>
      <w:r>
        <w:rPr>
          <w:rFonts w:hint="eastAsia" w:ascii="CESI宋体-GB18030" w:hAnsi="CESI宋体-GB18030" w:eastAsia="方正仿宋_GBK" w:cs="方正仿宋_GBK"/>
          <w:color w:val="auto"/>
          <w:sz w:val="32"/>
          <w:szCs w:val="32"/>
        </w:rPr>
        <w:t>万元。</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五、一般公共预算当年拨款情况说明</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（一）一般公共预算当年拨款规模变化情况</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年一般公共预算当年拨款</w:t>
      </w:r>
      <w:r>
        <w:rPr>
          <w:rFonts w:hint="eastAsia" w:ascii="CESI宋体-GB18030" w:hAnsi="CESI宋体-GB18030" w:eastAsia="方正仿宋_GBK" w:cs="方正仿宋_GBK"/>
          <w:color w:val="auto"/>
          <w:sz w:val="32"/>
          <w:szCs w:val="32"/>
          <w:lang w:val="en-US" w:eastAsia="zh-CN"/>
        </w:rPr>
        <w:t>3238.11</w:t>
      </w:r>
      <w:r>
        <w:rPr>
          <w:rFonts w:hint="eastAsia" w:ascii="CESI宋体-GB18030" w:hAnsi="CESI宋体-GB18030" w:eastAsia="方正仿宋_GBK" w:cs="方正仿宋_GBK"/>
          <w:color w:val="auto"/>
          <w:sz w:val="32"/>
          <w:szCs w:val="32"/>
        </w:rPr>
        <w:t>万元，比202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年预算数减少</w:t>
      </w:r>
      <w:r>
        <w:rPr>
          <w:rFonts w:hint="eastAsia" w:ascii="CESI宋体-GB18030" w:hAnsi="CESI宋体-GB18030" w:eastAsia="方正仿宋_GBK" w:cs="方正仿宋_GBK"/>
          <w:color w:val="auto"/>
          <w:sz w:val="32"/>
          <w:szCs w:val="32"/>
          <w:lang w:val="en-US" w:eastAsia="zh-CN"/>
        </w:rPr>
        <w:t>182.89</w:t>
      </w:r>
      <w:r>
        <w:rPr>
          <w:rFonts w:hint="eastAsia" w:ascii="CESI宋体-GB18030" w:hAnsi="CESI宋体-GB18030" w:eastAsia="方正仿宋_GBK" w:cs="方正仿宋_GBK"/>
          <w:color w:val="auto"/>
          <w:sz w:val="32"/>
          <w:szCs w:val="32"/>
        </w:rPr>
        <w:t>万元。主要原因是</w:t>
      </w:r>
      <w:r>
        <w:rPr>
          <w:rFonts w:hint="eastAsia" w:ascii="CESI宋体-GB18030" w:hAnsi="CESI宋体-GB18030" w:eastAsia="方正仿宋_GBK" w:cs="方正仿宋_GBK"/>
          <w:color w:val="auto"/>
          <w:sz w:val="32"/>
          <w:szCs w:val="32"/>
          <w:lang w:val="en-US" w:eastAsia="zh-CN"/>
        </w:rPr>
        <w:t>2025年</w:t>
      </w:r>
      <w:r>
        <w:rPr>
          <w:rFonts w:hint="eastAsia" w:ascii="CESI宋体-GB18030" w:hAnsi="CESI宋体-GB18030" w:eastAsia="方正仿宋_GBK" w:cs="方正仿宋_GBK"/>
          <w:color w:val="auto"/>
          <w:sz w:val="32"/>
          <w:szCs w:val="32"/>
        </w:rPr>
        <w:t>非税收支安排</w:t>
      </w:r>
      <w:r>
        <w:rPr>
          <w:rFonts w:hint="eastAsia" w:ascii="CESI宋体-GB18030" w:hAnsi="CESI宋体-GB18030" w:eastAsia="方正仿宋_GBK" w:cs="方正仿宋_GBK"/>
          <w:color w:val="auto"/>
          <w:sz w:val="32"/>
          <w:szCs w:val="32"/>
          <w:lang w:eastAsia="zh-CN"/>
        </w:rPr>
        <w:t>预算</w:t>
      </w:r>
      <w:r>
        <w:rPr>
          <w:rFonts w:hint="eastAsia" w:ascii="CESI宋体-GB18030" w:hAnsi="CESI宋体-GB18030" w:eastAsia="方正仿宋_GBK" w:cs="方正仿宋_GBK"/>
          <w:color w:val="auto"/>
          <w:sz w:val="32"/>
          <w:szCs w:val="32"/>
        </w:rPr>
        <w:t>项目支出</w:t>
      </w:r>
      <w:r>
        <w:rPr>
          <w:rFonts w:hint="eastAsia" w:ascii="CESI宋体-GB18030" w:hAnsi="CESI宋体-GB18030" w:eastAsia="方正仿宋_GBK" w:cs="方正仿宋_GBK"/>
          <w:color w:val="auto"/>
          <w:sz w:val="32"/>
          <w:szCs w:val="32"/>
          <w:lang w:eastAsia="zh-CN"/>
        </w:rPr>
        <w:t>减少</w:t>
      </w:r>
      <w:r>
        <w:rPr>
          <w:rFonts w:hint="eastAsia" w:ascii="CESI宋体-GB18030" w:hAnsi="CESI宋体-GB18030" w:eastAsia="方正仿宋_GBK" w:cs="方正仿宋_GBK"/>
          <w:color w:val="auto"/>
          <w:sz w:val="32"/>
          <w:szCs w:val="32"/>
        </w:rPr>
        <w:t>。</w:t>
      </w:r>
    </w:p>
    <w:p>
      <w:pPr>
        <w:spacing w:line="600" w:lineRule="exact"/>
        <w:ind w:firstLine="617" w:firstLineChars="192"/>
        <w:rPr>
          <w:rFonts w:hint="eastAsia" w:ascii="CESI宋体-GB18030" w:hAnsi="CESI宋体-GB18030" w:eastAsia="方正楷体_GBK" w:cs="方正楷体_GBK"/>
          <w:color w:val="auto"/>
          <w:sz w:val="32"/>
          <w:szCs w:val="32"/>
        </w:rPr>
      </w:pPr>
      <w:r>
        <w:rPr>
          <w:rFonts w:hint="eastAsia" w:ascii="CESI宋体-GB18030" w:hAnsi="CESI宋体-GB18030" w:eastAsia="方正楷体_GBK" w:cs="方正楷体_GBK"/>
          <w:b/>
          <w:color w:val="auto"/>
          <w:sz w:val="32"/>
          <w:szCs w:val="32"/>
        </w:rPr>
        <w:t>（二）一般公共预算当年拨款结构情况</w:t>
      </w:r>
    </w:p>
    <w:p>
      <w:pPr>
        <w:spacing w:line="600" w:lineRule="exact"/>
        <w:ind w:firstLine="614" w:firstLineChars="192"/>
        <w:rPr>
          <w:rFonts w:hint="eastAsia" w:ascii="CESI宋体-GB18030" w:hAnsi="CESI宋体-GB18030" w:eastAsia="方正仿宋_GBK" w:cs="方正仿宋_GBK"/>
          <w:color w:val="auto"/>
          <w:sz w:val="32"/>
          <w:szCs w:val="32"/>
          <w:lang w:val="en-US" w:eastAsia="zh-CN"/>
        </w:rPr>
      </w:pPr>
      <w:r>
        <w:rPr>
          <w:rFonts w:hint="eastAsia" w:ascii="CESI宋体-GB18030" w:hAnsi="CESI宋体-GB18030" w:eastAsia="方正仿宋_GBK" w:cs="方正仿宋_GBK"/>
          <w:color w:val="auto"/>
          <w:sz w:val="32"/>
          <w:szCs w:val="32"/>
          <w:lang w:eastAsia="zh-CN"/>
        </w:rPr>
        <w:t>公共安全支出</w:t>
      </w:r>
      <w:r>
        <w:rPr>
          <w:rFonts w:hint="eastAsia" w:ascii="CESI宋体-GB18030" w:hAnsi="CESI宋体-GB18030" w:eastAsia="方正仿宋_GBK" w:cs="方正仿宋_GBK"/>
          <w:color w:val="auto"/>
          <w:sz w:val="32"/>
          <w:szCs w:val="32"/>
          <w:lang w:val="en-US" w:eastAsia="zh-CN"/>
        </w:rPr>
        <w:t>2505.66</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77.4</w:t>
      </w:r>
      <w:r>
        <w:rPr>
          <w:rFonts w:hint="eastAsia" w:ascii="CESI宋体-GB18030" w:hAnsi="CESI宋体-GB18030" w:eastAsia="方正仿宋_GBK" w:cs="方正仿宋_GBK"/>
          <w:color w:val="auto"/>
          <w:sz w:val="32"/>
          <w:szCs w:val="32"/>
        </w:rPr>
        <w:t>%；社会保障和就业支出</w:t>
      </w:r>
      <w:r>
        <w:rPr>
          <w:rFonts w:hint="eastAsia" w:ascii="CESI宋体-GB18030" w:hAnsi="CESI宋体-GB18030" w:eastAsia="方正仿宋_GBK" w:cs="方正仿宋_GBK"/>
          <w:color w:val="auto"/>
          <w:sz w:val="32"/>
          <w:szCs w:val="32"/>
          <w:lang w:val="en-US" w:eastAsia="zh-CN"/>
        </w:rPr>
        <w:t>244.47</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7.6</w:t>
      </w:r>
      <w:r>
        <w:rPr>
          <w:rFonts w:hint="eastAsia" w:ascii="CESI宋体-GB18030" w:hAnsi="CESI宋体-GB18030" w:eastAsia="方正仿宋_GBK" w:cs="方正仿宋_GBK"/>
          <w:color w:val="auto"/>
          <w:sz w:val="32"/>
          <w:szCs w:val="32"/>
        </w:rPr>
        <w:t>%；医疗卫生与计划生育支出</w:t>
      </w:r>
      <w:r>
        <w:rPr>
          <w:rFonts w:hint="eastAsia" w:ascii="CESI宋体-GB18030" w:hAnsi="CESI宋体-GB18030" w:eastAsia="方正仿宋_GBK" w:cs="方正仿宋_GBK"/>
          <w:color w:val="auto"/>
          <w:sz w:val="32"/>
          <w:szCs w:val="32"/>
          <w:lang w:val="en-US" w:eastAsia="zh-CN"/>
        </w:rPr>
        <w:t>171.43</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5.3</w:t>
      </w:r>
      <w:r>
        <w:rPr>
          <w:rFonts w:hint="eastAsia" w:ascii="CESI宋体-GB18030" w:hAnsi="CESI宋体-GB18030" w:eastAsia="方正仿宋_GBK" w:cs="方正仿宋_GBK"/>
          <w:color w:val="auto"/>
          <w:sz w:val="32"/>
          <w:szCs w:val="32"/>
        </w:rPr>
        <w:t>%；住房保障支出</w:t>
      </w:r>
      <w:r>
        <w:rPr>
          <w:rFonts w:hint="eastAsia" w:ascii="CESI宋体-GB18030" w:hAnsi="CESI宋体-GB18030" w:eastAsia="方正仿宋_GBK" w:cs="方正仿宋_GBK"/>
          <w:color w:val="auto"/>
          <w:sz w:val="32"/>
          <w:szCs w:val="32"/>
          <w:lang w:val="en-US" w:eastAsia="zh-CN"/>
        </w:rPr>
        <w:t>316.55</w:t>
      </w:r>
      <w:r>
        <w:rPr>
          <w:rFonts w:hint="eastAsia" w:ascii="CESI宋体-GB18030" w:hAnsi="CESI宋体-GB18030" w:eastAsia="方正仿宋_GBK" w:cs="方正仿宋_GBK"/>
          <w:color w:val="auto"/>
          <w:sz w:val="32"/>
          <w:szCs w:val="32"/>
        </w:rPr>
        <w:t>万元，占</w:t>
      </w:r>
      <w:r>
        <w:rPr>
          <w:rFonts w:hint="eastAsia" w:ascii="CESI宋体-GB18030" w:hAnsi="CESI宋体-GB18030" w:eastAsia="方正仿宋_GBK" w:cs="方正仿宋_GBK"/>
          <w:color w:val="auto"/>
          <w:sz w:val="32"/>
          <w:szCs w:val="32"/>
          <w:lang w:val="en-US" w:eastAsia="zh-CN"/>
        </w:rPr>
        <w:t>9.7</w:t>
      </w: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val="en-US" w:eastAsia="zh-CN"/>
        </w:rPr>
        <w:t xml:space="preserve"> </w:t>
      </w:r>
    </w:p>
    <w:p>
      <w:pPr>
        <w:spacing w:line="600" w:lineRule="exact"/>
        <w:ind w:firstLine="617" w:firstLineChars="192"/>
        <w:rPr>
          <w:rFonts w:hint="eastAsia" w:ascii="CESI宋体-GB18030" w:hAnsi="CESI宋体-GB18030" w:eastAsia="方正楷体_GBK" w:cs="方正楷体_GBK"/>
          <w:b/>
          <w:bCs/>
          <w:color w:val="auto"/>
          <w:sz w:val="32"/>
          <w:szCs w:val="32"/>
        </w:rPr>
      </w:pPr>
      <w:r>
        <w:rPr>
          <w:rFonts w:hint="eastAsia" w:ascii="CESI宋体-GB18030" w:hAnsi="CESI宋体-GB18030" w:eastAsia="方正楷体_GBK" w:cs="方正楷体_GBK"/>
          <w:b/>
          <w:bCs/>
          <w:color w:val="auto"/>
          <w:sz w:val="32"/>
          <w:szCs w:val="32"/>
        </w:rPr>
        <w:t>（三）一般公共预算当年拨款具体使用情况</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 xml:space="preserve">1. </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（款）行政运行（项）202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2464.10</w:t>
      </w:r>
      <w:r>
        <w:rPr>
          <w:rFonts w:hint="eastAsia" w:ascii="CESI宋体-GB18030" w:hAnsi="CESI宋体-GB18030" w:eastAsia="方正仿宋_GBK" w:cs="方正仿宋_GBK"/>
          <w:color w:val="auto"/>
          <w:sz w:val="32"/>
          <w:szCs w:val="32"/>
        </w:rPr>
        <w:t>万元，主要用于：</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机关正常运转的基本支出，包括基本工资、津贴补贴等人员经费以及办公费、印刷费、水电费等日常公用经费。</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 xml:space="preserve">2. </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（款）一般行政管理事务（项）202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28</w:t>
      </w:r>
      <w:r>
        <w:rPr>
          <w:rFonts w:hint="eastAsia" w:ascii="CESI宋体-GB18030" w:hAnsi="CESI宋体-GB18030" w:eastAsia="方正仿宋_GBK" w:cs="方正仿宋_GBK"/>
          <w:color w:val="auto"/>
          <w:sz w:val="32"/>
          <w:szCs w:val="32"/>
        </w:rPr>
        <w:t>万元，主要用于：</w:t>
      </w:r>
      <w:r>
        <w:rPr>
          <w:rFonts w:hint="eastAsia" w:ascii="CESI宋体-GB18030" w:hAnsi="CESI宋体-GB18030" w:eastAsia="方正仿宋_GBK" w:cs="方正仿宋_GBK"/>
          <w:color w:val="auto"/>
          <w:sz w:val="32"/>
          <w:szCs w:val="32"/>
          <w:lang w:eastAsia="zh-CN"/>
        </w:rPr>
        <w:t>法院机关</w:t>
      </w:r>
      <w:r>
        <w:rPr>
          <w:rFonts w:hint="eastAsia" w:ascii="CESI宋体-GB18030" w:hAnsi="CESI宋体-GB18030" w:eastAsia="方正仿宋_GBK" w:cs="方正仿宋_GBK"/>
          <w:color w:val="auto"/>
          <w:sz w:val="32"/>
          <w:szCs w:val="32"/>
        </w:rPr>
        <w:t>开展财政综合业务、预决算编审等未单独设置项级科目的专门性财政管理工作的项目支出。如：</w:t>
      </w:r>
      <w:r>
        <w:rPr>
          <w:rFonts w:hint="eastAsia" w:ascii="CESI宋体-GB18030" w:hAnsi="CESI宋体-GB18030" w:eastAsia="方正仿宋_GBK" w:cs="方正仿宋_GBK"/>
          <w:color w:val="auto"/>
          <w:sz w:val="32"/>
          <w:szCs w:val="32"/>
          <w:lang w:eastAsia="zh-CN"/>
        </w:rPr>
        <w:t>人民陪审员经费</w:t>
      </w:r>
      <w:r>
        <w:rPr>
          <w:rFonts w:hint="eastAsia" w:ascii="CESI宋体-GB18030" w:hAnsi="CESI宋体-GB18030" w:eastAsia="方正仿宋_GBK" w:cs="方正仿宋_GBK"/>
          <w:color w:val="auto"/>
          <w:sz w:val="32"/>
          <w:szCs w:val="32"/>
        </w:rPr>
        <w:t>支出等。</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val="en-US" w:eastAsia="zh-CN"/>
        </w:rPr>
        <w:t>3.</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（款）事业运行（项）202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13.56</w:t>
      </w:r>
      <w:r>
        <w:rPr>
          <w:rFonts w:hint="eastAsia" w:ascii="CESI宋体-GB18030" w:hAnsi="CESI宋体-GB18030" w:eastAsia="方正仿宋_GBK" w:cs="方正仿宋_GBK"/>
          <w:color w:val="auto"/>
          <w:sz w:val="32"/>
          <w:szCs w:val="32"/>
        </w:rPr>
        <w:t>万元，主要用于：</w:t>
      </w:r>
      <w:r>
        <w:rPr>
          <w:rFonts w:hint="eastAsia" w:ascii="CESI宋体-GB18030" w:hAnsi="CESI宋体-GB18030" w:eastAsia="方正仿宋_GBK" w:cs="方正仿宋_GBK"/>
          <w:color w:val="auto"/>
          <w:sz w:val="32"/>
          <w:szCs w:val="32"/>
          <w:lang w:eastAsia="zh-CN"/>
        </w:rPr>
        <w:t>法院机关工勤绩效工资支出</w:t>
      </w:r>
      <w:r>
        <w:rPr>
          <w:rFonts w:hint="eastAsia" w:ascii="CESI宋体-GB18030" w:hAnsi="CESI宋体-GB18030" w:eastAsia="方正仿宋_GBK" w:cs="方正仿宋_GBK"/>
          <w:color w:val="auto"/>
          <w:sz w:val="32"/>
          <w:szCs w:val="32"/>
        </w:rPr>
        <w:t>。</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 社会保障和就业（类）行政事业单位养老支出（款）机关事业单位基本养老保险缴费支出（项）202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244.47</w:t>
      </w:r>
      <w:r>
        <w:rPr>
          <w:rFonts w:hint="eastAsia" w:ascii="CESI宋体-GB18030" w:hAnsi="CESI宋体-GB18030" w:eastAsia="方正仿宋_GBK" w:cs="方正仿宋_GBK"/>
          <w:color w:val="auto"/>
          <w:sz w:val="32"/>
          <w:szCs w:val="32"/>
        </w:rPr>
        <w:t>万元，用于单位缴纳的基本养老保险支出。</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 卫生健康支出（类）行政事业单位医疗（款）行政单位医疗（项）202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135.34</w:t>
      </w:r>
      <w:r>
        <w:rPr>
          <w:rFonts w:hint="eastAsia" w:ascii="CESI宋体-GB18030" w:hAnsi="CESI宋体-GB18030" w:eastAsia="方正仿宋_GBK" w:cs="方正仿宋_GBK"/>
          <w:color w:val="auto"/>
          <w:sz w:val="32"/>
          <w:szCs w:val="32"/>
        </w:rPr>
        <w:t>万元，用于法院基本医疗保险缴费支出。</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val="en-US" w:eastAsia="zh-CN"/>
        </w:rPr>
        <w:t>6</w:t>
      </w:r>
      <w:r>
        <w:rPr>
          <w:rFonts w:hint="eastAsia" w:ascii="CESI宋体-GB18030" w:hAnsi="CESI宋体-GB18030" w:eastAsia="方正仿宋_GBK" w:cs="方正仿宋_GBK"/>
          <w:color w:val="auto"/>
          <w:sz w:val="32"/>
          <w:szCs w:val="32"/>
        </w:rPr>
        <w:t>. 卫生健康支出（类）行政事业单位医疗（款）公务员医疗补助（项）202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36.09</w:t>
      </w:r>
      <w:r>
        <w:rPr>
          <w:rFonts w:hint="eastAsia" w:ascii="CESI宋体-GB18030" w:hAnsi="CESI宋体-GB18030" w:eastAsia="方正仿宋_GBK" w:cs="方正仿宋_GBK"/>
          <w:color w:val="auto"/>
          <w:sz w:val="32"/>
          <w:szCs w:val="32"/>
        </w:rPr>
        <w:t>万元，用于为法院公务员医疗补助缴费支出。</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val="en-US" w:eastAsia="zh-CN"/>
        </w:rPr>
        <w:t>7</w:t>
      </w:r>
      <w:r>
        <w:rPr>
          <w:rFonts w:hint="eastAsia" w:ascii="CESI宋体-GB18030" w:hAnsi="CESI宋体-GB18030" w:eastAsia="方正仿宋_GBK" w:cs="方正仿宋_GBK"/>
          <w:color w:val="auto"/>
          <w:sz w:val="32"/>
          <w:szCs w:val="32"/>
        </w:rPr>
        <w:t>. 住房保障（类）住房改革支出（款）住房公积金（项）：202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年预算数为</w:t>
      </w:r>
      <w:r>
        <w:rPr>
          <w:rFonts w:hint="eastAsia" w:ascii="CESI宋体-GB18030" w:hAnsi="CESI宋体-GB18030" w:eastAsia="方正仿宋_GBK" w:cs="方正仿宋_GBK"/>
          <w:color w:val="auto"/>
          <w:sz w:val="32"/>
          <w:szCs w:val="32"/>
          <w:lang w:val="en-US" w:eastAsia="zh-CN"/>
        </w:rPr>
        <w:t>316.55</w:t>
      </w:r>
      <w:r>
        <w:rPr>
          <w:rFonts w:hint="eastAsia" w:ascii="CESI宋体-GB18030" w:hAnsi="CESI宋体-GB18030" w:eastAsia="方正仿宋_GBK" w:cs="方正仿宋_GBK"/>
          <w:color w:val="auto"/>
          <w:sz w:val="32"/>
          <w:szCs w:val="32"/>
        </w:rPr>
        <w:t xml:space="preserve">万元，主要用于：法院按人力资源和社会保障部、财政部规定的基本工资和津贴补贴以及规定比例为职工缴纳的住房公积金支出。 </w:t>
      </w:r>
    </w:p>
    <w:p>
      <w:pPr>
        <w:spacing w:line="600" w:lineRule="exact"/>
        <w:ind w:left="147" w:leftChars="70" w:firstLine="480" w:firstLineChars="15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六、一般公共预算基本支出情况说明</w:t>
      </w:r>
    </w:p>
    <w:p>
      <w:pPr>
        <w:spacing w:line="600" w:lineRule="exact"/>
        <w:ind w:left="147" w:leftChars="70" w:firstLine="480" w:firstLineChars="15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年一般公共预算基本支出</w:t>
      </w:r>
      <w:r>
        <w:rPr>
          <w:rFonts w:hint="eastAsia" w:ascii="CESI宋体-GB18030" w:hAnsi="CESI宋体-GB18030" w:eastAsia="方正仿宋_GBK" w:cs="方正仿宋_GBK"/>
          <w:color w:val="auto"/>
          <w:sz w:val="32"/>
          <w:szCs w:val="32"/>
          <w:lang w:val="en-US" w:eastAsia="zh-CN"/>
        </w:rPr>
        <w:t>3210.11</w:t>
      </w:r>
      <w:r>
        <w:rPr>
          <w:rFonts w:hint="eastAsia" w:ascii="CESI宋体-GB18030" w:hAnsi="CESI宋体-GB18030" w:eastAsia="方正仿宋_GBK" w:cs="方正仿宋_GBK"/>
          <w:color w:val="auto"/>
          <w:sz w:val="32"/>
          <w:szCs w:val="32"/>
        </w:rPr>
        <w:t>万元，其中：</w:t>
      </w:r>
    </w:p>
    <w:p>
      <w:pPr>
        <w:spacing w:line="600" w:lineRule="exact"/>
        <w:ind w:left="147" w:leftChars="70" w:firstLine="480" w:firstLineChars="15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人员经费</w:t>
      </w:r>
      <w:r>
        <w:rPr>
          <w:rFonts w:hint="eastAsia" w:ascii="CESI宋体-GB18030" w:hAnsi="CESI宋体-GB18030" w:eastAsia="方正仿宋_GBK" w:cs="方正仿宋_GBK"/>
          <w:color w:val="auto"/>
          <w:sz w:val="32"/>
          <w:szCs w:val="32"/>
          <w:lang w:val="en-US" w:eastAsia="zh-CN"/>
        </w:rPr>
        <w:t>2143.97</w:t>
      </w:r>
      <w:r>
        <w:rPr>
          <w:rFonts w:hint="eastAsia" w:ascii="CESI宋体-GB18030" w:hAnsi="CESI宋体-GB18030" w:eastAsia="方正仿宋_GBK" w:cs="方正仿宋_GBK"/>
          <w:color w:val="auto"/>
          <w:sz w:val="32"/>
          <w:szCs w:val="32"/>
        </w:rPr>
        <w:t>万元，主要包括：基本工资、津贴补贴、奖金、社会保险缴费等。</w:t>
      </w:r>
    </w:p>
    <w:p>
      <w:pPr>
        <w:spacing w:line="600" w:lineRule="exact"/>
        <w:ind w:left="147" w:leftChars="70" w:firstLine="480" w:firstLineChars="15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公用经费</w:t>
      </w:r>
      <w:r>
        <w:rPr>
          <w:rFonts w:hint="eastAsia" w:ascii="CESI宋体-GB18030" w:hAnsi="CESI宋体-GB18030" w:eastAsia="方正仿宋_GBK" w:cs="方正仿宋_GBK"/>
          <w:color w:val="auto"/>
          <w:sz w:val="32"/>
          <w:szCs w:val="32"/>
          <w:lang w:val="en-US" w:eastAsia="zh-CN"/>
        </w:rPr>
        <w:t>1066.14</w:t>
      </w:r>
      <w:r>
        <w:rPr>
          <w:rFonts w:hint="eastAsia" w:ascii="CESI宋体-GB18030" w:hAnsi="CESI宋体-GB18030" w:eastAsia="方正仿宋_GBK" w:cs="方正仿宋_GBK"/>
          <w:color w:val="auto"/>
          <w:sz w:val="32"/>
          <w:szCs w:val="32"/>
        </w:rPr>
        <w:t>万元，主要包括：办公费、水费、电费、邮电费、印刷费、差旅费、维修（护）费、劳务费等。</w:t>
      </w:r>
    </w:p>
    <w:p>
      <w:pPr>
        <w:spacing w:line="600" w:lineRule="exact"/>
        <w:ind w:left="147" w:leftChars="70" w:firstLine="480" w:firstLineChars="15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七、“三公”经费财政拨款预算安排情况说明</w:t>
      </w:r>
    </w:p>
    <w:p>
      <w:pPr>
        <w:spacing w:line="600" w:lineRule="exact"/>
        <w:ind w:left="147" w:leftChars="70"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年“三公”经费财政拨款预算数</w:t>
      </w:r>
      <w:r>
        <w:rPr>
          <w:rFonts w:hint="eastAsia" w:ascii="CESI宋体-GB18030" w:hAnsi="CESI宋体-GB18030" w:eastAsia="方正仿宋_GBK" w:cs="方正仿宋_GBK"/>
          <w:color w:val="auto"/>
          <w:sz w:val="32"/>
          <w:szCs w:val="32"/>
          <w:lang w:val="en-US" w:eastAsia="zh-CN"/>
        </w:rPr>
        <w:t>101</w:t>
      </w:r>
      <w:r>
        <w:rPr>
          <w:rFonts w:hint="eastAsia" w:ascii="CESI宋体-GB18030" w:hAnsi="CESI宋体-GB18030" w:eastAsia="方正仿宋_GBK" w:cs="方正仿宋_GBK"/>
          <w:color w:val="auto"/>
          <w:sz w:val="32"/>
          <w:szCs w:val="32"/>
        </w:rPr>
        <w:t>万元，其中：因公出国（境）经费</w:t>
      </w:r>
      <w:r>
        <w:rPr>
          <w:rFonts w:hint="eastAsia" w:ascii="CESI宋体-GB18030" w:hAnsi="CESI宋体-GB18030" w:eastAsia="方正仿宋_GBK" w:cs="方正仿宋_GBK"/>
          <w:color w:val="auto"/>
          <w:sz w:val="32"/>
          <w:szCs w:val="32"/>
          <w:lang w:val="en-US" w:eastAsia="zh-CN"/>
        </w:rPr>
        <w:t>0</w:t>
      </w:r>
      <w:r>
        <w:rPr>
          <w:rFonts w:hint="eastAsia" w:ascii="CESI宋体-GB18030" w:hAnsi="CESI宋体-GB18030" w:eastAsia="方正仿宋_GBK" w:cs="方正仿宋_GBK"/>
          <w:color w:val="auto"/>
          <w:sz w:val="32"/>
          <w:szCs w:val="32"/>
        </w:rPr>
        <w:t>万元，公务接待费</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万元，公务用车购置及运行维护费</w:t>
      </w:r>
      <w:r>
        <w:rPr>
          <w:rFonts w:hint="eastAsia" w:ascii="CESI宋体-GB18030" w:hAnsi="CESI宋体-GB18030" w:eastAsia="方正仿宋_GBK" w:cs="方正仿宋_GBK"/>
          <w:color w:val="auto"/>
          <w:sz w:val="32"/>
          <w:szCs w:val="32"/>
          <w:lang w:val="en-US" w:eastAsia="zh-CN"/>
        </w:rPr>
        <w:t>96</w:t>
      </w:r>
      <w:r>
        <w:rPr>
          <w:rFonts w:hint="eastAsia" w:ascii="CESI宋体-GB18030" w:hAnsi="CESI宋体-GB18030" w:eastAsia="方正仿宋_GBK" w:cs="方正仿宋_GBK"/>
          <w:color w:val="auto"/>
          <w:sz w:val="32"/>
          <w:szCs w:val="32"/>
        </w:rPr>
        <w:t>万元。</w:t>
      </w:r>
    </w:p>
    <w:p>
      <w:pPr>
        <w:numPr>
          <w:ilvl w:val="0"/>
          <w:numId w:val="0"/>
        </w:numPr>
        <w:spacing w:line="600" w:lineRule="exact"/>
        <w:ind w:left="147" w:leftChars="70" w:firstLine="643"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b/>
          <w:bCs/>
          <w:color w:val="auto"/>
          <w:sz w:val="32"/>
          <w:szCs w:val="32"/>
          <w:lang w:eastAsia="zh-CN"/>
        </w:rPr>
        <w:t>（一）</w:t>
      </w:r>
      <w:r>
        <w:rPr>
          <w:rFonts w:hint="eastAsia" w:ascii="CESI宋体-GB18030" w:hAnsi="CESI宋体-GB18030" w:eastAsia="方正仿宋_GBK" w:cs="方正仿宋_GBK"/>
          <w:b/>
          <w:bCs/>
          <w:color w:val="auto"/>
          <w:sz w:val="32"/>
          <w:szCs w:val="32"/>
        </w:rPr>
        <w:t>因</w:t>
      </w:r>
      <w:r>
        <w:rPr>
          <w:rFonts w:hint="eastAsia" w:ascii="CESI宋体-GB18030" w:hAnsi="CESI宋体-GB18030" w:eastAsia="方正仿宋_GBK" w:cs="方正仿宋_GBK"/>
          <w:b/>
          <w:color w:val="auto"/>
          <w:sz w:val="32"/>
          <w:szCs w:val="32"/>
        </w:rPr>
        <w:t>公出国（境）经费较202</w:t>
      </w:r>
      <w:r>
        <w:rPr>
          <w:rFonts w:hint="eastAsia" w:ascii="CESI宋体-GB18030" w:hAnsi="CESI宋体-GB18030" w:eastAsia="方正仿宋_GBK" w:cs="方正仿宋_GBK"/>
          <w:b/>
          <w:color w:val="auto"/>
          <w:sz w:val="32"/>
          <w:szCs w:val="32"/>
          <w:lang w:val="en-US" w:eastAsia="zh-CN"/>
        </w:rPr>
        <w:t>4</w:t>
      </w:r>
      <w:r>
        <w:rPr>
          <w:rFonts w:hint="eastAsia" w:ascii="CESI宋体-GB18030" w:hAnsi="CESI宋体-GB18030" w:eastAsia="方正仿宋_GBK" w:cs="方正仿宋_GBK"/>
          <w:b/>
          <w:color w:val="auto"/>
          <w:sz w:val="32"/>
          <w:szCs w:val="32"/>
        </w:rPr>
        <w:t>年预算持平。</w:t>
      </w:r>
      <w:r>
        <w:rPr>
          <w:rFonts w:hint="eastAsia" w:ascii="CESI宋体-GB18030" w:hAnsi="CESI宋体-GB18030" w:eastAsia="方正仿宋_GBK" w:cs="方正仿宋_GBK"/>
          <w:color w:val="auto"/>
          <w:sz w:val="32"/>
          <w:szCs w:val="32"/>
        </w:rPr>
        <w:t>主要原因是202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年因公出国（境）预算均为0万元。</w:t>
      </w:r>
    </w:p>
    <w:p>
      <w:pPr>
        <w:pStyle w:val="5"/>
        <w:numPr>
          <w:ilvl w:val="0"/>
          <w:numId w:val="0"/>
        </w:numPr>
        <w:spacing w:line="600" w:lineRule="exact"/>
        <w:ind w:firstLine="960" w:firstLineChars="300"/>
        <w:rPr>
          <w:rFonts w:hint="eastAsia" w:ascii="CESI宋体-GB18030" w:hAnsi="CESI宋体-GB18030" w:eastAsia="方正仿宋_GBK" w:cs="方正仿宋_GBK"/>
          <w:sz w:val="32"/>
          <w:szCs w:val="32"/>
        </w:rPr>
      </w:pPr>
      <w:r>
        <w:rPr>
          <w:rFonts w:hint="eastAsia" w:ascii="CESI宋体-GB18030" w:hAnsi="CESI宋体-GB18030" w:eastAsia="方正仿宋_GBK" w:cs="方正仿宋_GBK"/>
          <w:color w:val="000000"/>
          <w:sz w:val="32"/>
          <w:szCs w:val="32"/>
        </w:rPr>
        <w:t>本年度拟安排出国（境）</w:t>
      </w:r>
      <w:r>
        <w:rPr>
          <w:rFonts w:hint="eastAsia" w:ascii="CESI宋体-GB18030" w:hAnsi="CESI宋体-GB18030" w:eastAsia="方正仿宋_GBK" w:cs="方正仿宋_GBK"/>
          <w:color w:val="000000"/>
          <w:sz w:val="32"/>
          <w:szCs w:val="32"/>
          <w:lang w:val="en-US" w:eastAsia="zh-CN"/>
        </w:rPr>
        <w:t>0</w:t>
      </w:r>
      <w:r>
        <w:rPr>
          <w:rFonts w:hint="eastAsia" w:ascii="CESI宋体-GB18030" w:hAnsi="CESI宋体-GB18030" w:eastAsia="方正仿宋_GBK" w:cs="方正仿宋_GBK"/>
          <w:color w:val="000000"/>
          <w:sz w:val="32"/>
          <w:szCs w:val="32"/>
        </w:rPr>
        <w:t>人次。</w:t>
      </w:r>
    </w:p>
    <w:p>
      <w:pPr>
        <w:spacing w:line="600" w:lineRule="exact"/>
        <w:ind w:firstLine="643"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b/>
          <w:color w:val="auto"/>
          <w:sz w:val="32"/>
          <w:szCs w:val="32"/>
        </w:rPr>
        <w:t>（二）公务接待费较202</w:t>
      </w:r>
      <w:r>
        <w:rPr>
          <w:rFonts w:hint="eastAsia" w:ascii="CESI宋体-GB18030" w:hAnsi="CESI宋体-GB18030" w:eastAsia="方正仿宋_GBK" w:cs="方正仿宋_GBK"/>
          <w:b/>
          <w:color w:val="auto"/>
          <w:sz w:val="32"/>
          <w:szCs w:val="32"/>
          <w:lang w:val="en-US" w:eastAsia="zh-CN"/>
        </w:rPr>
        <w:t>4</w:t>
      </w:r>
      <w:r>
        <w:rPr>
          <w:rFonts w:hint="eastAsia" w:ascii="CESI宋体-GB18030" w:hAnsi="CESI宋体-GB18030" w:eastAsia="方正仿宋_GBK" w:cs="方正仿宋_GBK"/>
          <w:b/>
          <w:color w:val="auto"/>
          <w:sz w:val="32"/>
          <w:szCs w:val="32"/>
        </w:rPr>
        <w:t>年预算持平。</w:t>
      </w:r>
      <w:r>
        <w:rPr>
          <w:rFonts w:hint="eastAsia" w:ascii="CESI宋体-GB18030" w:hAnsi="CESI宋体-GB18030" w:eastAsia="方正仿宋_GBK" w:cs="方正仿宋_GBK"/>
          <w:color w:val="auto"/>
          <w:sz w:val="32"/>
          <w:szCs w:val="32"/>
        </w:rPr>
        <w:t>主要原因是严格执行中央八项规定和省委省政府十项规定要求、市委市政府、县委县政府党政机关国内公务接待管理的要求，严格控制接待规模及接待标准。</w:t>
      </w:r>
    </w:p>
    <w:p>
      <w:pPr>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年公务接待费计划用于各级法院执行公务、考察调研、检查指导等公务活动开支的需要等。</w:t>
      </w:r>
    </w:p>
    <w:p>
      <w:pPr>
        <w:adjustRightInd w:val="0"/>
        <w:snapToGrid w:val="0"/>
        <w:spacing w:before="93" w:beforeLines="30" w:line="600" w:lineRule="exact"/>
        <w:ind w:firstLine="643" w:firstLineChars="200"/>
        <w:rPr>
          <w:rFonts w:hint="eastAsia" w:ascii="CESI宋体-GB18030" w:hAnsi="CESI宋体-GB18030" w:eastAsia="方正仿宋_GBK" w:cs="方正仿宋_GBK"/>
          <w:b/>
          <w:color w:val="auto"/>
          <w:sz w:val="32"/>
          <w:szCs w:val="32"/>
        </w:rPr>
      </w:pPr>
      <w:r>
        <w:rPr>
          <w:rFonts w:hint="eastAsia" w:ascii="CESI宋体-GB18030" w:hAnsi="CESI宋体-GB18030" w:eastAsia="方正仿宋_GBK" w:cs="方正仿宋_GBK"/>
          <w:b/>
          <w:color w:val="auto"/>
          <w:sz w:val="32"/>
          <w:szCs w:val="32"/>
        </w:rPr>
        <w:t>（三）公务用车购置及运行维护费较202</w:t>
      </w:r>
      <w:r>
        <w:rPr>
          <w:rFonts w:hint="eastAsia" w:ascii="CESI宋体-GB18030" w:hAnsi="CESI宋体-GB18030" w:eastAsia="方正仿宋_GBK" w:cs="方正仿宋_GBK"/>
          <w:b/>
          <w:color w:val="auto"/>
          <w:sz w:val="32"/>
          <w:szCs w:val="32"/>
          <w:lang w:val="en-US" w:eastAsia="zh-CN"/>
        </w:rPr>
        <w:t>4</w:t>
      </w:r>
      <w:r>
        <w:rPr>
          <w:rFonts w:hint="eastAsia" w:ascii="CESI宋体-GB18030" w:hAnsi="CESI宋体-GB18030" w:eastAsia="方正仿宋_GBK" w:cs="方正仿宋_GBK"/>
          <w:b/>
          <w:color w:val="auto"/>
          <w:sz w:val="32"/>
          <w:szCs w:val="32"/>
        </w:rPr>
        <w:t>年预算</w:t>
      </w:r>
      <w:r>
        <w:rPr>
          <w:rFonts w:hint="eastAsia" w:ascii="CESI宋体-GB18030" w:hAnsi="CESI宋体-GB18030" w:eastAsia="方正仿宋_GBK" w:cs="方正仿宋_GBK"/>
          <w:b/>
          <w:color w:val="auto"/>
          <w:sz w:val="32"/>
          <w:szCs w:val="32"/>
          <w:lang w:eastAsia="zh-CN"/>
        </w:rPr>
        <w:t>持平</w:t>
      </w:r>
      <w:r>
        <w:rPr>
          <w:rFonts w:hint="eastAsia" w:ascii="CESI宋体-GB18030" w:hAnsi="CESI宋体-GB18030" w:eastAsia="方正仿宋_GBK" w:cs="方正仿宋_GBK"/>
          <w:b/>
          <w:color w:val="auto"/>
          <w:sz w:val="32"/>
          <w:szCs w:val="32"/>
        </w:rPr>
        <w:t>。</w:t>
      </w:r>
    </w:p>
    <w:p>
      <w:pPr>
        <w:adjustRightInd w:val="0"/>
        <w:snapToGrid w:val="0"/>
        <w:spacing w:before="93" w:beforeLines="30"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现有公务用车</w:t>
      </w:r>
      <w:r>
        <w:rPr>
          <w:rFonts w:hint="eastAsia" w:ascii="CESI宋体-GB18030" w:hAnsi="CESI宋体-GB18030" w:eastAsia="方正仿宋_GBK" w:cs="方正仿宋_GBK"/>
          <w:color w:val="auto"/>
          <w:sz w:val="32"/>
          <w:szCs w:val="32"/>
          <w:lang w:val="en-US" w:eastAsia="zh-CN"/>
        </w:rPr>
        <w:t>24</w:t>
      </w:r>
      <w:r>
        <w:rPr>
          <w:rFonts w:hint="eastAsia" w:ascii="CESI宋体-GB18030" w:hAnsi="CESI宋体-GB18030" w:eastAsia="方正仿宋_GBK" w:cs="方正仿宋_GBK"/>
          <w:color w:val="auto"/>
          <w:sz w:val="32"/>
          <w:szCs w:val="32"/>
        </w:rPr>
        <w:t>辆，其中：轿车</w:t>
      </w:r>
      <w:r>
        <w:rPr>
          <w:rFonts w:hint="eastAsia" w:ascii="CESI宋体-GB18030" w:hAnsi="CESI宋体-GB18030" w:eastAsia="方正仿宋_GBK" w:cs="方正仿宋_GBK"/>
          <w:color w:val="auto"/>
          <w:sz w:val="32"/>
          <w:szCs w:val="32"/>
          <w:lang w:val="en-US" w:eastAsia="zh-CN"/>
        </w:rPr>
        <w:t>20</w:t>
      </w:r>
      <w:r>
        <w:rPr>
          <w:rFonts w:hint="eastAsia" w:ascii="CESI宋体-GB18030" w:hAnsi="CESI宋体-GB18030" w:eastAsia="方正仿宋_GBK" w:cs="方正仿宋_GBK"/>
          <w:color w:val="auto"/>
          <w:sz w:val="32"/>
          <w:szCs w:val="32"/>
        </w:rPr>
        <w:t>辆，越野车</w:t>
      </w:r>
      <w:r>
        <w:rPr>
          <w:rFonts w:hint="eastAsia" w:ascii="CESI宋体-GB18030" w:hAnsi="CESI宋体-GB18030" w:eastAsia="方正仿宋_GBK" w:cs="方正仿宋_GBK"/>
          <w:color w:val="auto"/>
          <w:sz w:val="32"/>
          <w:szCs w:val="32"/>
          <w:lang w:val="en-US" w:eastAsia="zh-CN"/>
        </w:rPr>
        <w:t>1</w:t>
      </w:r>
      <w:r>
        <w:rPr>
          <w:rFonts w:hint="eastAsia" w:ascii="CESI宋体-GB18030" w:hAnsi="CESI宋体-GB18030" w:eastAsia="方正仿宋_GBK" w:cs="方正仿宋_GBK"/>
          <w:color w:val="auto"/>
          <w:sz w:val="32"/>
          <w:szCs w:val="32"/>
        </w:rPr>
        <w:t>辆，</w:t>
      </w:r>
      <w:r>
        <w:rPr>
          <w:rFonts w:hint="eastAsia" w:ascii="CESI宋体-GB18030" w:hAnsi="CESI宋体-GB18030" w:eastAsia="方正仿宋_GBK" w:cs="方正仿宋_GBK"/>
          <w:color w:val="auto"/>
          <w:sz w:val="32"/>
          <w:szCs w:val="32"/>
          <w:lang w:eastAsia="zh-CN"/>
        </w:rPr>
        <w:t>轻型客车</w:t>
      </w:r>
      <w:r>
        <w:rPr>
          <w:rFonts w:hint="eastAsia" w:ascii="CESI宋体-GB18030" w:hAnsi="CESI宋体-GB18030" w:eastAsia="方正仿宋_GBK" w:cs="方正仿宋_GBK"/>
          <w:color w:val="auto"/>
          <w:sz w:val="32"/>
          <w:szCs w:val="32"/>
          <w:lang w:val="en-US" w:eastAsia="zh-CN"/>
        </w:rPr>
        <w:t>1辆</w:t>
      </w: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其他车型</w:t>
      </w:r>
      <w:r>
        <w:rPr>
          <w:rFonts w:hint="eastAsia" w:ascii="CESI宋体-GB18030" w:hAnsi="CESI宋体-GB18030" w:eastAsia="方正仿宋_GBK" w:cs="方正仿宋_GBK"/>
          <w:color w:val="auto"/>
          <w:sz w:val="32"/>
          <w:szCs w:val="32"/>
          <w:lang w:val="en-US" w:eastAsia="zh-CN"/>
        </w:rPr>
        <w:t>2辆</w:t>
      </w:r>
      <w:r>
        <w:rPr>
          <w:rFonts w:hint="eastAsia" w:ascii="CESI宋体-GB18030" w:hAnsi="CESI宋体-GB18030" w:eastAsia="方正仿宋_GBK" w:cs="方正仿宋_GBK"/>
          <w:color w:val="auto"/>
          <w:sz w:val="32"/>
          <w:szCs w:val="32"/>
        </w:rPr>
        <w:t>。</w:t>
      </w:r>
    </w:p>
    <w:p>
      <w:pPr>
        <w:adjustRightInd w:val="0"/>
        <w:snapToGrid w:val="0"/>
        <w:spacing w:before="93" w:beforeLines="30"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公务用车购置费</w:t>
      </w:r>
      <w:r>
        <w:rPr>
          <w:rFonts w:hint="eastAsia" w:ascii="CESI宋体-GB18030" w:hAnsi="CESI宋体-GB18030" w:eastAsia="方正仿宋_GBK" w:cs="方正仿宋_GBK"/>
          <w:color w:val="auto"/>
          <w:sz w:val="32"/>
          <w:szCs w:val="32"/>
          <w:lang w:val="en-US" w:eastAsia="zh-CN"/>
        </w:rPr>
        <w:t>0</w:t>
      </w:r>
      <w:r>
        <w:rPr>
          <w:rFonts w:hint="eastAsia" w:ascii="CESI宋体-GB18030" w:hAnsi="CESI宋体-GB18030" w:eastAsia="方正仿宋_GBK" w:cs="方正仿宋_GBK"/>
          <w:color w:val="auto"/>
          <w:sz w:val="32"/>
          <w:szCs w:val="32"/>
        </w:rPr>
        <w:t>万元</w:t>
      </w:r>
      <w:r>
        <w:rPr>
          <w:rFonts w:hint="eastAsia" w:ascii="CESI宋体-GB18030" w:hAnsi="CESI宋体-GB18030" w:eastAsia="方正仿宋_GBK" w:cs="方正仿宋_GBK"/>
          <w:color w:val="auto"/>
          <w:sz w:val="32"/>
          <w:szCs w:val="32"/>
          <w:lang w:eastAsia="zh-CN"/>
        </w:rPr>
        <w:t>，</w:t>
      </w:r>
      <w:r>
        <w:rPr>
          <w:rFonts w:hint="eastAsia" w:ascii="CESI宋体-GB18030" w:hAnsi="CESI宋体-GB18030" w:eastAsia="方正仿宋_GBK" w:cs="方正仿宋_GBK"/>
          <w:color w:val="000000"/>
          <w:sz w:val="32"/>
          <w:szCs w:val="32"/>
        </w:rPr>
        <w:t>较2024年预算</w:t>
      </w:r>
      <w:r>
        <w:rPr>
          <w:rFonts w:hint="eastAsia" w:ascii="CESI宋体-GB18030" w:hAnsi="CESI宋体-GB18030" w:eastAsia="方正仿宋_GBK" w:cs="方正仿宋_GBK"/>
          <w:color w:val="000000"/>
          <w:sz w:val="32"/>
          <w:szCs w:val="32"/>
          <w:lang w:eastAsia="zh-CN"/>
        </w:rPr>
        <w:t>持平</w:t>
      </w:r>
      <w:r>
        <w:rPr>
          <w:rFonts w:hint="eastAsia" w:ascii="CESI宋体-GB18030" w:hAnsi="CESI宋体-GB18030" w:eastAsia="方正仿宋_GBK" w:cs="方正仿宋_GBK"/>
          <w:color w:val="auto"/>
          <w:sz w:val="32"/>
          <w:szCs w:val="32"/>
        </w:rPr>
        <w:t>。</w:t>
      </w:r>
    </w:p>
    <w:p>
      <w:pPr>
        <w:adjustRightInd w:val="0"/>
        <w:snapToGrid w:val="0"/>
        <w:spacing w:before="93" w:beforeLines="30"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公务用车运行维护费</w:t>
      </w:r>
      <w:r>
        <w:rPr>
          <w:rFonts w:hint="eastAsia" w:ascii="CESI宋体-GB18030" w:hAnsi="CESI宋体-GB18030" w:eastAsia="方正仿宋_GBK" w:cs="方正仿宋_GBK"/>
          <w:color w:val="auto"/>
          <w:sz w:val="32"/>
          <w:szCs w:val="32"/>
          <w:lang w:val="en-US" w:eastAsia="zh-CN"/>
        </w:rPr>
        <w:t>96</w:t>
      </w:r>
      <w:r>
        <w:rPr>
          <w:rFonts w:hint="eastAsia" w:ascii="CESI宋体-GB18030" w:hAnsi="CESI宋体-GB18030" w:eastAsia="方正仿宋_GBK" w:cs="方正仿宋_GBK"/>
          <w:color w:val="auto"/>
          <w:sz w:val="32"/>
          <w:szCs w:val="32"/>
        </w:rPr>
        <w:t>万元，较202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年预算</w:t>
      </w:r>
      <w:r>
        <w:rPr>
          <w:rFonts w:hint="eastAsia" w:ascii="CESI宋体-GB18030" w:hAnsi="CESI宋体-GB18030" w:eastAsia="方正仿宋_GBK" w:cs="方正仿宋_GBK"/>
          <w:color w:val="auto"/>
          <w:sz w:val="32"/>
          <w:szCs w:val="32"/>
          <w:lang w:eastAsia="zh-CN"/>
        </w:rPr>
        <w:t>持平</w:t>
      </w:r>
      <w:r>
        <w:rPr>
          <w:rFonts w:hint="eastAsia" w:ascii="CESI宋体-GB18030" w:hAnsi="CESI宋体-GB18030" w:eastAsia="方正仿宋_GBK" w:cs="方正仿宋_GBK"/>
          <w:color w:val="auto"/>
          <w:sz w:val="32"/>
          <w:szCs w:val="32"/>
        </w:rPr>
        <w:t>。用于</w:t>
      </w:r>
      <w:r>
        <w:rPr>
          <w:rFonts w:hint="eastAsia" w:ascii="CESI宋体-GB18030" w:hAnsi="CESI宋体-GB18030" w:eastAsia="方正仿宋_GBK" w:cs="方正仿宋_GBK"/>
          <w:color w:val="auto"/>
          <w:sz w:val="32"/>
          <w:szCs w:val="32"/>
          <w:lang w:val="en-US" w:eastAsia="zh-CN"/>
        </w:rPr>
        <w:t>24</w:t>
      </w:r>
      <w:r>
        <w:rPr>
          <w:rFonts w:hint="eastAsia" w:ascii="CESI宋体-GB18030" w:hAnsi="CESI宋体-GB18030" w:eastAsia="方正仿宋_GBK" w:cs="方正仿宋_GBK"/>
          <w:color w:val="auto"/>
          <w:sz w:val="32"/>
          <w:szCs w:val="32"/>
        </w:rPr>
        <w:t>辆公务用车燃油、维修、保险等方面支出。</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八、政府性基金预算支出情况说明</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安岳县人民法院</w:t>
      </w:r>
      <w:r>
        <w:rPr>
          <w:rFonts w:hint="eastAsia" w:ascii="CESI宋体-GB18030" w:hAnsi="CESI宋体-GB18030" w:eastAsia="方正仿宋_GBK" w:cs="方正仿宋_GBK"/>
          <w:color w:val="auto"/>
          <w:sz w:val="32"/>
          <w:szCs w:val="32"/>
          <w:lang w:eastAsia="zh-CN"/>
        </w:rPr>
        <w:t>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年没有使用政府性基金预算拨款安排的支出。</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九、国有资本经营预算支出情况说明</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安岳县人民法院</w:t>
      </w:r>
      <w:r>
        <w:rPr>
          <w:rFonts w:hint="eastAsia" w:ascii="CESI宋体-GB18030" w:hAnsi="CESI宋体-GB18030" w:eastAsia="方正仿宋_GBK" w:cs="方正仿宋_GBK"/>
          <w:color w:val="auto"/>
          <w:sz w:val="32"/>
          <w:szCs w:val="32"/>
          <w:lang w:eastAsia="zh-CN"/>
        </w:rPr>
        <w:t>单位</w:t>
      </w: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年没有使用国有资本经营预算拨款安排的支出。</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十、其他重要事项的情况说明</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（一）机关运行经费</w:t>
      </w:r>
    </w:p>
    <w:p>
      <w:pPr>
        <w:spacing w:line="600" w:lineRule="exact"/>
        <w:ind w:firstLine="63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安岳县人民法院202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年机关运行经费财政拨款预算为</w:t>
      </w:r>
      <w:r>
        <w:rPr>
          <w:rFonts w:hint="eastAsia" w:ascii="CESI宋体-GB18030" w:hAnsi="CESI宋体-GB18030" w:eastAsia="方正仿宋_GBK" w:cs="方正仿宋_GBK"/>
          <w:color w:val="auto"/>
          <w:sz w:val="32"/>
          <w:szCs w:val="32"/>
          <w:lang w:val="en-US" w:eastAsia="zh-CN"/>
        </w:rPr>
        <w:t>1066.14</w:t>
      </w:r>
      <w:r>
        <w:rPr>
          <w:rFonts w:hint="eastAsia" w:ascii="CESI宋体-GB18030" w:hAnsi="CESI宋体-GB18030" w:eastAsia="方正仿宋_GBK" w:cs="方正仿宋_GBK"/>
          <w:color w:val="auto"/>
          <w:sz w:val="32"/>
          <w:szCs w:val="32"/>
        </w:rPr>
        <w:t>万元，比202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年预算增加</w:t>
      </w:r>
      <w:r>
        <w:rPr>
          <w:rFonts w:hint="eastAsia" w:ascii="CESI宋体-GB18030" w:hAnsi="CESI宋体-GB18030" w:eastAsia="方正仿宋_GBK" w:cs="方正仿宋_GBK"/>
          <w:color w:val="auto"/>
          <w:sz w:val="32"/>
          <w:szCs w:val="32"/>
          <w:lang w:val="en-US" w:eastAsia="zh-CN"/>
        </w:rPr>
        <w:t>69.92</w:t>
      </w:r>
      <w:r>
        <w:rPr>
          <w:rFonts w:hint="eastAsia" w:ascii="CESI宋体-GB18030" w:hAnsi="CESI宋体-GB18030" w:eastAsia="方正仿宋_GBK" w:cs="方正仿宋_GBK"/>
          <w:color w:val="auto"/>
          <w:sz w:val="32"/>
          <w:szCs w:val="32"/>
        </w:rPr>
        <w:t>万元，增长</w:t>
      </w:r>
      <w:r>
        <w:rPr>
          <w:rFonts w:hint="eastAsia" w:ascii="CESI宋体-GB18030" w:hAnsi="CESI宋体-GB18030" w:eastAsia="方正仿宋_GBK" w:cs="方正仿宋_GBK"/>
          <w:color w:val="auto"/>
          <w:sz w:val="32"/>
          <w:szCs w:val="32"/>
          <w:lang w:val="en-US" w:eastAsia="zh-CN"/>
        </w:rPr>
        <w:t>7</w:t>
      </w:r>
      <w:r>
        <w:rPr>
          <w:rFonts w:hint="eastAsia" w:ascii="CESI宋体-GB18030" w:hAnsi="CESI宋体-GB18030" w:eastAsia="方正仿宋_GBK" w:cs="方正仿宋_GBK"/>
          <w:color w:val="auto"/>
          <w:sz w:val="32"/>
          <w:szCs w:val="32"/>
        </w:rPr>
        <w:t>%。</w:t>
      </w:r>
    </w:p>
    <w:p>
      <w:pPr>
        <w:spacing w:line="600" w:lineRule="exact"/>
        <w:ind w:firstLine="617" w:firstLineChars="192"/>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（二）政府采购情况</w:t>
      </w:r>
    </w:p>
    <w:p>
      <w:pPr>
        <w:spacing w:line="600" w:lineRule="exact"/>
        <w:ind w:firstLine="640" w:firstLineChars="200"/>
        <w:rPr>
          <w:rFonts w:hint="eastAsia" w:ascii="CESI宋体-GB18030" w:hAnsi="CESI宋体-GB18030" w:eastAsia="方正仿宋_GBK" w:cs="方正仿宋_GBK"/>
          <w:color w:val="auto"/>
          <w:sz w:val="32"/>
          <w:szCs w:val="32"/>
          <w:lang w:eastAsia="zh-CN"/>
        </w:rPr>
      </w:pP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年，安岳县人民法院</w:t>
      </w:r>
      <w:r>
        <w:rPr>
          <w:rFonts w:hint="eastAsia" w:ascii="CESI宋体-GB18030" w:hAnsi="CESI宋体-GB18030" w:eastAsia="方正仿宋_GBK" w:cs="方正仿宋_GBK"/>
          <w:color w:val="auto"/>
          <w:sz w:val="32"/>
          <w:szCs w:val="32"/>
          <w:lang w:eastAsia="zh-CN"/>
        </w:rPr>
        <w:t>单位</w:t>
      </w:r>
      <w:r>
        <w:rPr>
          <w:rFonts w:hint="eastAsia" w:ascii="CESI宋体-GB18030" w:hAnsi="CESI宋体-GB18030" w:eastAsia="方正仿宋_GBK" w:cs="方正仿宋_GBK"/>
          <w:color w:val="auto"/>
          <w:sz w:val="32"/>
          <w:szCs w:val="32"/>
        </w:rPr>
        <w:t>安排政府采购预算</w:t>
      </w:r>
      <w:r>
        <w:rPr>
          <w:rFonts w:hint="eastAsia" w:ascii="CESI宋体-GB18030" w:hAnsi="CESI宋体-GB18030" w:eastAsia="方正仿宋_GBK" w:cs="方正仿宋_GBK"/>
          <w:color w:val="auto"/>
          <w:sz w:val="32"/>
          <w:szCs w:val="32"/>
          <w:lang w:val="en-US" w:eastAsia="zh-CN"/>
        </w:rPr>
        <w:t>16.99</w:t>
      </w:r>
      <w:r>
        <w:rPr>
          <w:rFonts w:hint="eastAsia" w:ascii="CESI宋体-GB18030" w:hAnsi="CESI宋体-GB18030" w:eastAsia="方正仿宋_GBK" w:cs="方正仿宋_GBK"/>
          <w:color w:val="auto"/>
          <w:sz w:val="32"/>
          <w:szCs w:val="32"/>
        </w:rPr>
        <w:t>万元，主要用于采购复印纸</w:t>
      </w:r>
      <w:r>
        <w:rPr>
          <w:rFonts w:hint="eastAsia" w:ascii="CESI宋体-GB18030" w:hAnsi="CESI宋体-GB18030" w:eastAsia="方正仿宋_GBK" w:cs="方正仿宋_GBK"/>
          <w:color w:val="auto"/>
          <w:sz w:val="32"/>
          <w:szCs w:val="32"/>
          <w:lang w:eastAsia="zh-CN"/>
        </w:rPr>
        <w:t>及车辆燃料。</w:t>
      </w:r>
    </w:p>
    <w:p>
      <w:pPr>
        <w:spacing w:line="600" w:lineRule="exact"/>
        <w:ind w:firstLine="643" w:firstLineChars="200"/>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（三）国有资产占有使用情况</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截至202</w:t>
      </w:r>
      <w:r>
        <w:rPr>
          <w:rFonts w:hint="eastAsia" w:ascii="CESI宋体-GB18030" w:hAnsi="CESI宋体-GB18030" w:eastAsia="方正仿宋_GBK" w:cs="方正仿宋_GBK"/>
          <w:color w:val="auto"/>
          <w:sz w:val="32"/>
          <w:szCs w:val="32"/>
          <w:lang w:val="en-US" w:eastAsia="zh-CN"/>
        </w:rPr>
        <w:t>4</w:t>
      </w:r>
      <w:r>
        <w:rPr>
          <w:rFonts w:hint="eastAsia" w:ascii="CESI宋体-GB18030" w:hAnsi="CESI宋体-GB18030" w:eastAsia="方正仿宋_GBK" w:cs="方正仿宋_GBK"/>
          <w:color w:val="auto"/>
          <w:sz w:val="32"/>
          <w:szCs w:val="32"/>
        </w:rPr>
        <w:t>年底，</w:t>
      </w:r>
      <w:r>
        <w:rPr>
          <w:rFonts w:hint="eastAsia" w:ascii="CESI宋体-GB18030" w:hAnsi="CESI宋体-GB18030" w:eastAsia="方正仿宋_GBK" w:cs="方正仿宋_GBK"/>
          <w:color w:val="auto"/>
          <w:sz w:val="32"/>
          <w:szCs w:val="32"/>
          <w:lang w:eastAsia="zh-CN"/>
        </w:rPr>
        <w:t>安岳县人民法院单位共</w:t>
      </w:r>
      <w:r>
        <w:rPr>
          <w:rFonts w:hint="eastAsia" w:ascii="CESI宋体-GB18030" w:hAnsi="CESI宋体-GB18030" w:eastAsia="方正仿宋_GBK" w:cs="方正仿宋_GBK"/>
          <w:color w:val="auto"/>
          <w:sz w:val="32"/>
          <w:szCs w:val="32"/>
        </w:rPr>
        <w:t>有车辆</w:t>
      </w:r>
      <w:r>
        <w:rPr>
          <w:rFonts w:hint="eastAsia" w:ascii="CESI宋体-GB18030" w:hAnsi="CESI宋体-GB18030" w:eastAsia="方正仿宋_GBK" w:cs="方正仿宋_GBK"/>
          <w:color w:val="auto"/>
          <w:sz w:val="32"/>
          <w:szCs w:val="32"/>
          <w:lang w:val="en-US" w:eastAsia="zh-CN"/>
        </w:rPr>
        <w:t>24</w:t>
      </w:r>
      <w:r>
        <w:rPr>
          <w:rFonts w:hint="eastAsia" w:ascii="CESI宋体-GB18030" w:hAnsi="CESI宋体-GB18030" w:eastAsia="方正仿宋_GBK" w:cs="方正仿宋_GBK"/>
          <w:color w:val="auto"/>
          <w:sz w:val="32"/>
          <w:szCs w:val="32"/>
        </w:rPr>
        <w:t>辆，其中</w:t>
      </w:r>
      <w:r>
        <w:rPr>
          <w:rFonts w:hint="eastAsia" w:ascii="CESI宋体-GB18030" w:hAnsi="CESI宋体-GB18030" w:eastAsia="方正仿宋_GBK" w:cs="方正仿宋_GBK"/>
          <w:color w:val="auto"/>
          <w:sz w:val="32"/>
          <w:szCs w:val="32"/>
          <w:lang w:eastAsia="zh-CN"/>
        </w:rPr>
        <w:t>，</w:t>
      </w:r>
      <w:r>
        <w:rPr>
          <w:rFonts w:hint="eastAsia" w:ascii="CESI宋体-GB18030" w:hAnsi="CESI宋体-GB18030" w:eastAsia="方正仿宋_GBK" w:cs="方正仿宋_GBK"/>
          <w:color w:val="000000"/>
          <w:sz w:val="32"/>
          <w:szCs w:val="32"/>
        </w:rPr>
        <w:t>领导干部用车</w:t>
      </w:r>
      <w:r>
        <w:rPr>
          <w:rFonts w:hint="eastAsia" w:ascii="CESI宋体-GB18030" w:hAnsi="CESI宋体-GB18030" w:eastAsia="方正仿宋_GBK" w:cs="方正仿宋_GBK"/>
          <w:color w:val="000000"/>
          <w:sz w:val="32"/>
          <w:szCs w:val="32"/>
          <w:lang w:val="en-US" w:eastAsia="zh-CN"/>
        </w:rPr>
        <w:t>0</w:t>
      </w:r>
      <w:r>
        <w:rPr>
          <w:rFonts w:hint="eastAsia" w:ascii="CESI宋体-GB18030" w:hAnsi="CESI宋体-GB18030" w:eastAsia="方正仿宋_GBK" w:cs="方正仿宋_GBK"/>
          <w:color w:val="000000"/>
          <w:sz w:val="32"/>
          <w:szCs w:val="32"/>
        </w:rPr>
        <w:t>辆、定向保障用车</w:t>
      </w:r>
      <w:r>
        <w:rPr>
          <w:rFonts w:hint="eastAsia" w:ascii="CESI宋体-GB18030" w:hAnsi="CESI宋体-GB18030" w:eastAsia="方正仿宋_GBK" w:cs="方正仿宋_GBK"/>
          <w:color w:val="000000"/>
          <w:sz w:val="32"/>
          <w:szCs w:val="32"/>
          <w:lang w:val="en-US" w:eastAsia="zh-CN"/>
        </w:rPr>
        <w:t>0</w:t>
      </w:r>
      <w:r>
        <w:rPr>
          <w:rFonts w:hint="eastAsia" w:ascii="CESI宋体-GB18030" w:hAnsi="CESI宋体-GB18030" w:eastAsia="方正仿宋_GBK" w:cs="方正仿宋_GBK"/>
          <w:color w:val="000000"/>
          <w:sz w:val="32"/>
          <w:szCs w:val="32"/>
        </w:rPr>
        <w:t>辆、执法执勤用车</w:t>
      </w:r>
      <w:r>
        <w:rPr>
          <w:rFonts w:hint="eastAsia" w:ascii="CESI宋体-GB18030" w:hAnsi="CESI宋体-GB18030" w:eastAsia="方正仿宋_GBK" w:cs="方正仿宋_GBK"/>
          <w:color w:val="000000"/>
          <w:sz w:val="32"/>
          <w:szCs w:val="32"/>
          <w:lang w:val="en-US" w:eastAsia="zh-CN"/>
        </w:rPr>
        <w:t>24</w:t>
      </w:r>
      <w:r>
        <w:rPr>
          <w:rFonts w:hint="eastAsia" w:ascii="CESI宋体-GB18030" w:hAnsi="CESI宋体-GB18030" w:eastAsia="方正仿宋_GBK" w:cs="方正仿宋_GBK"/>
          <w:color w:val="000000"/>
          <w:sz w:val="32"/>
          <w:szCs w:val="32"/>
        </w:rPr>
        <w:t>辆。</w:t>
      </w:r>
      <w:r>
        <w:rPr>
          <w:rFonts w:hint="eastAsia" w:ascii="CESI宋体-GB18030" w:hAnsi="CESI宋体-GB18030" w:eastAsia="方正仿宋_GBK" w:cs="方正仿宋_GBK"/>
          <w:color w:val="auto"/>
          <w:sz w:val="32"/>
          <w:szCs w:val="32"/>
        </w:rPr>
        <w:t>单位价值100万元以上大型设备</w:t>
      </w:r>
      <w:r>
        <w:rPr>
          <w:rFonts w:hint="eastAsia" w:ascii="CESI宋体-GB18030" w:hAnsi="CESI宋体-GB18030" w:eastAsia="方正仿宋_GBK" w:cs="方正仿宋_GBK"/>
          <w:color w:val="auto"/>
          <w:sz w:val="32"/>
          <w:szCs w:val="32"/>
          <w:lang w:val="en-US" w:eastAsia="zh-CN"/>
        </w:rPr>
        <w:t>0</w:t>
      </w:r>
      <w:r>
        <w:rPr>
          <w:rFonts w:hint="eastAsia" w:ascii="CESI宋体-GB18030" w:hAnsi="CESI宋体-GB18030" w:eastAsia="方正仿宋_GBK" w:cs="方正仿宋_GBK"/>
          <w:color w:val="auto"/>
          <w:sz w:val="32"/>
          <w:szCs w:val="32"/>
        </w:rPr>
        <w:t>台（套）。</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年部门预算未安排购置车辆及单位价值100万元以上大型设备。</w:t>
      </w:r>
    </w:p>
    <w:p>
      <w:pPr>
        <w:spacing w:line="600" w:lineRule="exact"/>
        <w:ind w:firstLine="643" w:firstLineChars="200"/>
        <w:rPr>
          <w:rFonts w:hint="eastAsia" w:ascii="CESI宋体-GB18030" w:hAnsi="CESI宋体-GB18030" w:eastAsia="方正楷体_GBK" w:cs="方正楷体_GBK"/>
          <w:b/>
          <w:color w:val="auto"/>
          <w:sz w:val="32"/>
          <w:szCs w:val="32"/>
        </w:rPr>
      </w:pPr>
      <w:r>
        <w:rPr>
          <w:rFonts w:hint="eastAsia" w:ascii="CESI宋体-GB18030" w:hAnsi="CESI宋体-GB18030" w:eastAsia="方正楷体_GBK" w:cs="方正楷体_GBK"/>
          <w:b/>
          <w:color w:val="auto"/>
          <w:sz w:val="32"/>
          <w:szCs w:val="32"/>
        </w:rPr>
        <w:t>（四）绩效目标设置情况</w:t>
      </w: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绩效目标是预算编制的前提和基础，按照“费随事定”的原则，202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w:t>
      </w:r>
      <w:r>
        <w:rPr>
          <w:rFonts w:hint="eastAsia" w:ascii="CESI宋体-GB18030" w:hAnsi="CESI宋体-GB18030" w:eastAsia="方正仿宋_GBK" w:cs="方正仿宋_GBK"/>
          <w:color w:val="auto"/>
          <w:sz w:val="32"/>
          <w:szCs w:val="32"/>
          <w:lang w:eastAsia="zh-CN"/>
        </w:rPr>
        <w:t>安岳县人民法院单位</w:t>
      </w:r>
      <w:r>
        <w:rPr>
          <w:rFonts w:hint="eastAsia" w:ascii="CESI宋体-GB18030" w:hAnsi="CESI宋体-GB18030" w:eastAsia="方正仿宋_GBK" w:cs="方正仿宋_GBK"/>
          <w:color w:val="auto"/>
          <w:sz w:val="32"/>
          <w:szCs w:val="32"/>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spacing w:line="600" w:lineRule="exact"/>
        <w:ind w:firstLine="640" w:firstLineChars="200"/>
        <w:rPr>
          <w:rFonts w:hint="eastAsia" w:ascii="CESI宋体-GB18030" w:hAnsi="CESI宋体-GB18030" w:eastAsia="方正黑体_GBK" w:cs="方正黑体_GBK"/>
          <w:color w:val="auto"/>
          <w:sz w:val="32"/>
          <w:szCs w:val="32"/>
        </w:rPr>
      </w:pPr>
      <w:r>
        <w:rPr>
          <w:rFonts w:hint="eastAsia" w:ascii="CESI宋体-GB18030" w:hAnsi="CESI宋体-GB18030" w:eastAsia="方正黑体_GBK" w:cs="方正黑体_GBK"/>
          <w:color w:val="auto"/>
          <w:sz w:val="32"/>
          <w:szCs w:val="32"/>
        </w:rPr>
        <w:t>十一、名词解释</w:t>
      </w:r>
    </w:p>
    <w:p>
      <w:pPr>
        <w:keepNext w:val="0"/>
        <w:keepLines w:val="0"/>
        <w:widowControl w:val="0"/>
        <w:suppressLineNumbers w:val="0"/>
        <w:shd w:val="clear" w:color="auto" w:fill="FFFFFF"/>
        <w:spacing w:before="0" w:beforeAutospacing="0" w:after="0" w:afterAutospacing="0" w:line="600" w:lineRule="exact"/>
        <w:ind w:left="0" w:right="0" w:firstLine="640" w:firstLineChars="200"/>
        <w:jc w:val="left"/>
        <w:rPr>
          <w:rFonts w:hint="eastAsia" w:ascii="CESI宋体-GB18030" w:hAnsi="CESI宋体-GB18030" w:eastAsia="方正仿宋_GBK" w:cs="方正仿宋_GBK"/>
          <w:color w:val="auto"/>
          <w:kern w:val="2"/>
          <w:sz w:val="32"/>
          <w:szCs w:val="32"/>
          <w:shd w:val="clear" w:color="auto" w:fill="auto"/>
        </w:rPr>
      </w:pPr>
      <w:r>
        <w:rPr>
          <w:rFonts w:hint="eastAsia" w:ascii="CESI宋体-GB18030" w:hAnsi="CESI宋体-GB18030" w:eastAsia="方正仿宋_GBK" w:cs="方正仿宋_GBK"/>
          <w:color w:val="auto"/>
          <w:kern w:val="2"/>
          <w:sz w:val="32"/>
          <w:szCs w:val="32"/>
          <w:shd w:val="clear" w:color="auto" w:fill="auto"/>
          <w:lang w:val="en-US" w:eastAsia="zh-CN" w:bidi="ar"/>
        </w:rPr>
        <w:t>（一）一般公共预算拨款收入：指市级财政当年拨付的资金。</w:t>
      </w:r>
    </w:p>
    <w:p>
      <w:pPr>
        <w:keepNext w:val="0"/>
        <w:keepLines w:val="0"/>
        <w:widowControl w:val="0"/>
        <w:suppressLineNumbers w:val="0"/>
        <w:shd w:val="clear" w:color="auto" w:fill="FFFFFF"/>
        <w:spacing w:before="0" w:beforeAutospacing="0" w:after="0" w:afterAutospacing="0" w:line="600" w:lineRule="exact"/>
        <w:ind w:left="0" w:right="0" w:firstLine="640" w:firstLineChars="200"/>
        <w:jc w:val="left"/>
        <w:rPr>
          <w:rFonts w:hint="eastAsia" w:ascii="CESI宋体-GB18030" w:hAnsi="CESI宋体-GB18030" w:eastAsia="方正仿宋_GBK" w:cs="方正仿宋_GBK"/>
          <w:color w:val="auto"/>
          <w:kern w:val="2"/>
          <w:sz w:val="32"/>
          <w:szCs w:val="32"/>
          <w:shd w:val="clear" w:color="auto" w:fill="auto"/>
        </w:rPr>
      </w:pPr>
      <w:r>
        <w:rPr>
          <w:rFonts w:hint="eastAsia" w:ascii="CESI宋体-GB18030" w:hAnsi="CESI宋体-GB18030" w:eastAsia="方正仿宋_GBK" w:cs="方正仿宋_GBK"/>
          <w:color w:val="auto"/>
          <w:kern w:val="2"/>
          <w:sz w:val="32"/>
          <w:szCs w:val="32"/>
          <w:shd w:val="clear" w:color="auto" w:fill="auto"/>
          <w:lang w:val="en-US" w:eastAsia="zh-CN" w:bidi="ar"/>
        </w:rPr>
        <w:t>（二）</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（款）行政运行（项）</w:t>
      </w:r>
      <w:r>
        <w:rPr>
          <w:rFonts w:hint="eastAsia" w:ascii="CESI宋体-GB18030" w:hAnsi="CESI宋体-GB18030" w:eastAsia="方正仿宋_GBK" w:cs="方正仿宋_GBK"/>
          <w:color w:val="auto"/>
          <w:kern w:val="2"/>
          <w:sz w:val="32"/>
          <w:szCs w:val="32"/>
          <w:shd w:val="clear" w:color="auto" w:fill="auto"/>
          <w:lang w:val="en-US" w:eastAsia="zh-CN" w:bidi="ar"/>
        </w:rPr>
        <w:t>指法院机关用于保障机构正常运行、开展日常工作的基本支出。</w:t>
      </w:r>
    </w:p>
    <w:p>
      <w:pPr>
        <w:keepNext w:val="0"/>
        <w:keepLines w:val="0"/>
        <w:widowControl w:val="0"/>
        <w:suppressLineNumbers w:val="0"/>
        <w:shd w:val="clear" w:color="auto" w:fill="FFFFFF"/>
        <w:spacing w:before="0" w:beforeAutospacing="0" w:after="0" w:afterAutospacing="0" w:line="600" w:lineRule="exact"/>
        <w:ind w:left="0" w:right="0" w:firstLine="640" w:firstLineChars="200"/>
        <w:jc w:val="left"/>
        <w:rPr>
          <w:rFonts w:hint="eastAsia" w:ascii="CESI宋体-GB18030" w:hAnsi="CESI宋体-GB18030" w:eastAsia="方正仿宋_GBK" w:cs="方正仿宋_GBK"/>
          <w:color w:val="auto"/>
          <w:kern w:val="2"/>
          <w:sz w:val="32"/>
          <w:szCs w:val="32"/>
          <w:shd w:val="clear" w:color="auto" w:fill="auto"/>
          <w:lang w:val="en-US" w:eastAsia="zh-CN" w:bidi="ar"/>
        </w:rPr>
      </w:pPr>
      <w:r>
        <w:rPr>
          <w:rFonts w:hint="eastAsia" w:ascii="CESI宋体-GB18030" w:hAnsi="CESI宋体-GB18030" w:eastAsia="方正仿宋_GBK" w:cs="方正仿宋_GBK"/>
          <w:color w:val="auto"/>
          <w:kern w:val="2"/>
          <w:sz w:val="32"/>
          <w:szCs w:val="32"/>
          <w:shd w:val="clear" w:color="auto" w:fill="auto"/>
          <w:lang w:val="en-US" w:eastAsia="zh-CN" w:bidi="ar"/>
        </w:rPr>
        <w:t>（三）</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（款）一般行政管理事务（项）</w:t>
      </w:r>
      <w:r>
        <w:rPr>
          <w:rFonts w:hint="eastAsia" w:ascii="CESI宋体-GB18030" w:hAnsi="CESI宋体-GB18030" w:eastAsia="方正仿宋_GBK" w:cs="方正仿宋_GBK"/>
          <w:color w:val="auto"/>
          <w:kern w:val="2"/>
          <w:sz w:val="32"/>
          <w:szCs w:val="32"/>
          <w:shd w:val="clear" w:color="auto" w:fill="auto"/>
          <w:lang w:val="en-US" w:eastAsia="zh-CN" w:bidi="ar"/>
        </w:rPr>
        <w:t>：指法院机关未单独设置项级科目的其他项目支出。</w:t>
      </w:r>
    </w:p>
    <w:p>
      <w:pPr>
        <w:keepNext w:val="0"/>
        <w:keepLines w:val="0"/>
        <w:widowControl w:val="0"/>
        <w:suppressLineNumbers w:val="0"/>
        <w:shd w:val="clear" w:color="auto" w:fill="FFFFFF"/>
        <w:spacing w:before="0" w:beforeAutospacing="0" w:after="0" w:afterAutospacing="0" w:line="600" w:lineRule="exact"/>
        <w:ind w:left="0" w:right="0" w:firstLine="640" w:firstLineChars="200"/>
        <w:jc w:val="left"/>
        <w:rPr>
          <w:rFonts w:hint="eastAsia" w:ascii="CESI宋体-GB18030" w:hAnsi="CESI宋体-GB18030" w:eastAsia="方正仿宋_GBK" w:cs="方正仿宋_GBK"/>
          <w:color w:val="auto"/>
          <w:kern w:val="2"/>
          <w:sz w:val="32"/>
          <w:szCs w:val="32"/>
          <w:shd w:val="clear" w:color="auto" w:fill="auto"/>
          <w:lang w:val="en-US" w:eastAsia="zh-CN" w:bidi="ar"/>
        </w:rPr>
      </w:pPr>
      <w:r>
        <w:rPr>
          <w:rFonts w:hint="eastAsia" w:ascii="CESI宋体-GB18030" w:hAnsi="CESI宋体-GB18030" w:eastAsia="方正仿宋_GBK" w:cs="方正仿宋_GBK"/>
          <w:color w:val="auto"/>
          <w:kern w:val="2"/>
          <w:sz w:val="32"/>
          <w:szCs w:val="32"/>
          <w:shd w:val="clear" w:color="auto" w:fill="auto"/>
          <w:lang w:val="en-US" w:eastAsia="zh-CN" w:bidi="ar"/>
        </w:rPr>
        <w:t>（四）</w:t>
      </w:r>
      <w:r>
        <w:rPr>
          <w:rFonts w:hint="eastAsia" w:ascii="CESI宋体-GB18030" w:hAnsi="CESI宋体-GB18030" w:eastAsia="方正仿宋_GBK" w:cs="方正仿宋_GBK"/>
          <w:color w:val="auto"/>
          <w:sz w:val="32"/>
          <w:szCs w:val="32"/>
        </w:rPr>
        <w:t xml:space="preserve"> </w:t>
      </w:r>
      <w:r>
        <w:rPr>
          <w:rFonts w:hint="eastAsia" w:ascii="CESI宋体-GB18030" w:hAnsi="CESI宋体-GB18030" w:eastAsia="方正仿宋_GBK" w:cs="方正仿宋_GBK"/>
          <w:color w:val="auto"/>
          <w:sz w:val="32"/>
          <w:szCs w:val="32"/>
          <w:lang w:eastAsia="zh-CN"/>
        </w:rPr>
        <w:t>公共安全</w:t>
      </w:r>
      <w:r>
        <w:rPr>
          <w:rFonts w:hint="eastAsia" w:ascii="CESI宋体-GB18030" w:hAnsi="CESI宋体-GB18030" w:eastAsia="方正仿宋_GBK" w:cs="方正仿宋_GBK"/>
          <w:color w:val="auto"/>
          <w:sz w:val="32"/>
          <w:szCs w:val="32"/>
        </w:rPr>
        <w:t>（类）</w:t>
      </w:r>
      <w:r>
        <w:rPr>
          <w:rFonts w:hint="eastAsia" w:ascii="CESI宋体-GB18030" w:hAnsi="CESI宋体-GB18030" w:eastAsia="方正仿宋_GBK" w:cs="方正仿宋_GBK"/>
          <w:color w:val="auto"/>
          <w:sz w:val="32"/>
          <w:szCs w:val="32"/>
          <w:lang w:eastAsia="zh-CN"/>
        </w:rPr>
        <w:t>法院</w:t>
      </w:r>
      <w:r>
        <w:rPr>
          <w:rFonts w:hint="eastAsia" w:ascii="CESI宋体-GB18030" w:hAnsi="CESI宋体-GB18030" w:eastAsia="方正仿宋_GBK" w:cs="方正仿宋_GBK"/>
          <w:color w:val="auto"/>
          <w:sz w:val="32"/>
          <w:szCs w:val="32"/>
        </w:rPr>
        <w:t>（款）事业运行（项）</w:t>
      </w:r>
      <w:r>
        <w:rPr>
          <w:rFonts w:hint="eastAsia" w:ascii="CESI宋体-GB18030" w:hAnsi="CESI宋体-GB18030" w:eastAsia="方正仿宋_GBK" w:cs="方正仿宋_GBK"/>
          <w:color w:val="auto"/>
          <w:sz w:val="32"/>
          <w:szCs w:val="32"/>
          <w:lang w:eastAsia="zh-CN"/>
        </w:rPr>
        <w:t>：指法院机关用于机关工勤人员绩效工资支出。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五</w:t>
      </w:r>
      <w:r>
        <w:rPr>
          <w:rFonts w:hint="eastAsia" w:ascii="CESI宋体-GB18030" w:hAnsi="CESI宋体-GB18030" w:eastAsia="方正仿宋_GBK" w:cs="方正仿宋_GBK"/>
          <w:color w:val="auto"/>
          <w:sz w:val="32"/>
          <w:szCs w:val="32"/>
        </w:rPr>
        <w:t>）社会保障和就业（类）行政事业单位养老支出（款）机关事业单位基本养老保险缴费支出（项）：指部门实施养老保险制度由单位缴纳的养老保险费的支出。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六</w:t>
      </w:r>
      <w:r>
        <w:rPr>
          <w:rFonts w:hint="eastAsia" w:ascii="CESI宋体-GB18030" w:hAnsi="CESI宋体-GB18030" w:eastAsia="方正仿宋_GBK" w:cs="方正仿宋_GBK"/>
          <w:color w:val="auto"/>
          <w:sz w:val="32"/>
          <w:szCs w:val="32"/>
        </w:rPr>
        <w:t>）卫生健康（类）行政事业单位医疗（款）行政单位医疗（项）：指机关及参公管理事业单位用于单位应缴纳基本医疗保险支出。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七</w:t>
      </w:r>
      <w:r>
        <w:rPr>
          <w:rFonts w:hint="eastAsia" w:ascii="CESI宋体-GB18030" w:hAnsi="CESI宋体-GB18030" w:eastAsia="方正仿宋_GBK" w:cs="方正仿宋_GBK"/>
          <w:color w:val="auto"/>
          <w:sz w:val="32"/>
          <w:szCs w:val="32"/>
        </w:rPr>
        <w:t>）卫生健康（类）行政事业单位医疗（款）公务员医疗补助（项）：指机关及参公管理事业单位用于集中缴纳公务员医疗补助支出。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八</w:t>
      </w:r>
      <w:r>
        <w:rPr>
          <w:rFonts w:hint="eastAsia" w:ascii="CESI宋体-GB18030" w:hAnsi="CESI宋体-GB18030" w:eastAsia="方正仿宋_GBK" w:cs="方正仿宋_GBK"/>
          <w:color w:val="auto"/>
          <w:sz w:val="32"/>
          <w:szCs w:val="32"/>
        </w:rPr>
        <w:t>）住房保障（类）住房改革支出（款）住房公积金（项）：指按照《住房公积金管理条例》的规定，由单位及其在职职工缴存的长期住房储金。</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九</w:t>
      </w:r>
      <w:r>
        <w:rPr>
          <w:rFonts w:hint="eastAsia" w:ascii="CESI宋体-GB18030" w:hAnsi="CESI宋体-GB18030" w:eastAsia="方正仿宋_GBK" w:cs="方正仿宋_GBK"/>
          <w:color w:val="auto"/>
          <w:sz w:val="32"/>
          <w:szCs w:val="32"/>
        </w:rPr>
        <w:t>）基本支出：指为保证机构正常运转，完成日常工作任务而发生的人员支出和公用支出。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w:t>
      </w:r>
      <w:r>
        <w:rPr>
          <w:rFonts w:hint="eastAsia" w:ascii="CESI宋体-GB18030" w:hAnsi="CESI宋体-GB18030" w:eastAsia="方正仿宋_GBK" w:cs="方正仿宋_GBK"/>
          <w:color w:val="auto"/>
          <w:sz w:val="32"/>
          <w:szCs w:val="32"/>
          <w:lang w:eastAsia="zh-CN"/>
        </w:rPr>
        <w:t>十</w:t>
      </w:r>
      <w:r>
        <w:rPr>
          <w:rFonts w:hint="eastAsia" w:ascii="CESI宋体-GB18030" w:hAnsi="CESI宋体-GB18030" w:eastAsia="方正仿宋_GBK" w:cs="方正仿宋_GBK"/>
          <w:color w:val="auto"/>
          <w:sz w:val="32"/>
          <w:szCs w:val="32"/>
        </w:rPr>
        <w:t>）项目支出：指在基本支出之外为完成特定行政任务和事业发展目标所发生的支出。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（十</w:t>
      </w:r>
      <w:r>
        <w:rPr>
          <w:rFonts w:hint="eastAsia" w:ascii="CESI宋体-GB18030" w:hAnsi="CESI宋体-GB18030" w:eastAsia="方正仿宋_GBK" w:cs="方正仿宋_GBK"/>
          <w:color w:val="auto"/>
          <w:sz w:val="32"/>
          <w:szCs w:val="32"/>
          <w:lang w:eastAsia="zh-CN"/>
        </w:rPr>
        <w:t>一</w:t>
      </w:r>
      <w:r>
        <w:rPr>
          <w:rFonts w:hint="eastAsia" w:ascii="CESI宋体-GB18030" w:hAnsi="CESI宋体-GB18030" w:eastAsia="方正仿宋_GBK" w:cs="方正仿宋_GBK"/>
          <w:color w:val="auto"/>
          <w:sz w:val="32"/>
          <w:szCs w:val="32"/>
        </w:rPr>
        <w:t>）“三公”经费：纳入财政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hd w:val="clear" w:color="auto" w:fill="FFFFFF"/>
        <w:spacing w:line="600" w:lineRule="exact"/>
        <w:ind w:firstLine="640" w:firstLineChars="200"/>
        <w:jc w:val="left"/>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（十</w:t>
      </w:r>
      <w:r>
        <w:rPr>
          <w:rFonts w:hint="eastAsia" w:ascii="CESI宋体-GB18030" w:hAnsi="CESI宋体-GB18030" w:eastAsia="方正仿宋_GBK" w:cs="方正仿宋_GBK"/>
          <w:color w:val="auto"/>
          <w:sz w:val="32"/>
          <w:szCs w:val="32"/>
          <w:lang w:eastAsia="zh-CN"/>
        </w:rPr>
        <w:t>二</w:t>
      </w:r>
      <w:r>
        <w:rPr>
          <w:rFonts w:hint="eastAsia" w:ascii="CESI宋体-GB18030" w:hAnsi="CESI宋体-GB18030" w:eastAsia="方正仿宋_GBK" w:cs="方正仿宋_GBK"/>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hd w:val="clear" w:color="auto" w:fill="FFFFFF"/>
        <w:spacing w:line="600" w:lineRule="exact"/>
        <w:jc w:val="left"/>
        <w:rPr>
          <w:rFonts w:hint="eastAsia" w:ascii="CESI宋体-GB18030" w:hAnsi="CESI宋体-GB18030" w:eastAsia="方正仿宋_GBK" w:cs="方正仿宋_GBK"/>
          <w:color w:val="auto"/>
          <w:sz w:val="32"/>
          <w:szCs w:val="32"/>
        </w:rPr>
      </w:pPr>
    </w:p>
    <w:p>
      <w:pPr>
        <w:spacing w:line="600" w:lineRule="exact"/>
        <w:ind w:firstLine="640" w:firstLineChars="200"/>
        <w:rPr>
          <w:rFonts w:hint="eastAsia" w:ascii="CESI宋体-GB18030" w:hAnsi="CESI宋体-GB18030" w:eastAsia="方正仿宋_GBK" w:cs="方正仿宋_GBK"/>
          <w:color w:val="auto"/>
          <w:sz w:val="32"/>
          <w:szCs w:val="32"/>
        </w:rPr>
      </w:pPr>
      <w:r>
        <w:rPr>
          <w:rFonts w:hint="eastAsia" w:ascii="CESI宋体-GB18030" w:hAnsi="CESI宋体-GB18030" w:eastAsia="方正仿宋_GBK" w:cs="方正仿宋_GBK"/>
          <w:color w:val="auto"/>
          <w:sz w:val="32"/>
          <w:szCs w:val="32"/>
        </w:rPr>
        <w:t>附件：202</w:t>
      </w:r>
      <w:r>
        <w:rPr>
          <w:rFonts w:hint="eastAsia" w:ascii="CESI宋体-GB18030" w:hAnsi="CESI宋体-GB18030" w:eastAsia="方正仿宋_GBK" w:cs="方正仿宋_GBK"/>
          <w:color w:val="auto"/>
          <w:sz w:val="32"/>
          <w:szCs w:val="32"/>
          <w:lang w:val="en-US" w:eastAsia="zh-CN"/>
        </w:rPr>
        <w:t>5</w:t>
      </w:r>
      <w:r>
        <w:rPr>
          <w:rFonts w:hint="eastAsia" w:ascii="CESI宋体-GB18030" w:hAnsi="CESI宋体-GB18030" w:eastAsia="方正仿宋_GBK" w:cs="方正仿宋_GBK"/>
          <w:color w:val="auto"/>
          <w:sz w:val="32"/>
          <w:szCs w:val="32"/>
        </w:rPr>
        <w:t>年单位预算公开表</w:t>
      </w:r>
    </w:p>
    <w:p>
      <w:pPr>
        <w:adjustRightInd w:val="0"/>
        <w:snapToGrid w:val="0"/>
        <w:spacing w:before="93" w:beforeLines="30" w:line="600" w:lineRule="exact"/>
        <w:ind w:firstLine="640" w:firstLineChars="200"/>
        <w:rPr>
          <w:rFonts w:eastAsia="仿宋_GB2312"/>
          <w:bCs/>
          <w:color w:val="auto"/>
          <w:sz w:val="32"/>
          <w:szCs w:val="32"/>
        </w:rPr>
      </w:pPr>
    </w:p>
    <w:p>
      <w:pPr>
        <w:adjustRightInd w:val="0"/>
        <w:snapToGrid w:val="0"/>
        <w:spacing w:before="93" w:beforeLines="30" w:line="600" w:lineRule="exact"/>
        <w:ind w:firstLine="640" w:firstLineChars="200"/>
        <w:rPr>
          <w:rFonts w:eastAsia="仿宋_GB2312"/>
          <w:bCs/>
          <w:color w:val="auto"/>
          <w:sz w:val="32"/>
          <w:szCs w:val="32"/>
        </w:rPr>
      </w:pPr>
    </w:p>
    <w:p>
      <w:pPr>
        <w:adjustRightInd w:val="0"/>
        <w:snapToGrid w:val="0"/>
        <w:spacing w:before="93" w:beforeLines="30" w:line="600" w:lineRule="exact"/>
        <w:ind w:firstLine="640" w:firstLineChars="200"/>
        <w:rPr>
          <w:rFonts w:eastAsia="仿宋_GB2312"/>
          <w:bCs/>
          <w:color w:val="auto"/>
          <w:sz w:val="32"/>
          <w:szCs w:val="32"/>
        </w:rPr>
      </w:pPr>
    </w:p>
    <w:p>
      <w:pPr>
        <w:adjustRightInd w:val="0"/>
        <w:snapToGrid w:val="0"/>
        <w:spacing w:before="93" w:beforeLines="30" w:line="600" w:lineRule="exact"/>
        <w:ind w:firstLine="640" w:firstLineChars="200"/>
        <w:rPr>
          <w:rFonts w:hint="eastAsia" w:eastAsia="仿宋_GB2312"/>
          <w:bCs/>
          <w:color w:val="auto"/>
          <w:sz w:val="32"/>
          <w:szCs w:val="32"/>
        </w:rPr>
      </w:pPr>
    </w:p>
    <w:p>
      <w:bookmarkStart w:id="0" w:name="_GoBack"/>
      <w:bookmarkEnd w:id="0"/>
    </w:p>
    <w:sectPr>
      <w:footerReference r:id="rId4" w:type="default"/>
      <w:pgSz w:w="11906" w:h="16838"/>
      <w:pgMar w:top="1440" w:right="1588"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CESI宋体-GB18030">
    <w:altName w:val="宋体"/>
    <w:panose1 w:val="02000500000000000000"/>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F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customStyle="1" w:styleId="5">
    <w:name w:val="NormalIndent"/>
    <w:qFormat/>
    <w:uiPriority w:val="99"/>
    <w:pPr>
      <w:widowControl w:val="0"/>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2025-01-21T01:53:48Z</dcterms:created>
  <dc:creator>Administrator</dc:creator>
  <cp:lastModifiedBy>Administrator</cp:lastModifiedBy>
  <dcterms:modified xsi:type="dcterms:W3CDTF">2025-01-21T01:53:57Z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5137B356556F4077813884474090A6BF</vt:lpwstr>
  </property>
</Properties>
</file>