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3E7" w:rsidRDefault="005253AD">
      <w:pPr>
        <w:spacing w:line="740" w:lineRule="exact"/>
        <w:jc w:val="center"/>
        <w:rPr>
          <w:rFonts w:ascii="方正小标宋简体" w:eastAsia="方正小标宋简体"/>
          <w:kern w:val="0"/>
          <w:sz w:val="44"/>
          <w:szCs w:val="44"/>
        </w:rPr>
      </w:pPr>
      <w:r>
        <w:rPr>
          <w:rFonts w:ascii="方正小标宋简体" w:eastAsia="方正小标宋简体" w:hint="eastAsia"/>
          <w:kern w:val="0"/>
          <w:sz w:val="44"/>
          <w:szCs w:val="44"/>
        </w:rPr>
        <w:t>广西壮族自治区高级人民法院</w:t>
      </w:r>
    </w:p>
    <w:p w:rsidR="009923E7" w:rsidRDefault="005253AD">
      <w:pPr>
        <w:spacing w:line="740" w:lineRule="exact"/>
        <w:jc w:val="center"/>
        <w:rPr>
          <w:rFonts w:ascii="仿宋_GB2312" w:eastAsia="仿宋_GB2312"/>
          <w:kern w:val="0"/>
          <w:sz w:val="32"/>
          <w:szCs w:val="32"/>
        </w:rPr>
      </w:pPr>
      <w:r>
        <w:rPr>
          <w:rFonts w:ascii="方正小标宋简体" w:eastAsia="方正小标宋简体" w:hint="eastAsia"/>
          <w:kern w:val="0"/>
          <w:sz w:val="44"/>
          <w:szCs w:val="44"/>
        </w:rPr>
        <w:t>2018</w:t>
      </w:r>
      <w:r>
        <w:rPr>
          <w:rFonts w:ascii="方正小标宋简体" w:eastAsia="方正小标宋简体" w:hint="eastAsia"/>
          <w:kern w:val="0"/>
          <w:sz w:val="44"/>
          <w:szCs w:val="44"/>
        </w:rPr>
        <w:t>年优化营商环境工作绩效展示</w:t>
      </w:r>
    </w:p>
    <w:p w:rsidR="009923E7" w:rsidRDefault="009923E7">
      <w:pPr>
        <w:spacing w:line="580" w:lineRule="exact"/>
        <w:rPr>
          <w:rFonts w:ascii="仿宋_GB2312" w:eastAsia="仿宋_GB2312"/>
          <w:kern w:val="0"/>
          <w:sz w:val="32"/>
          <w:szCs w:val="32"/>
        </w:rPr>
      </w:pPr>
    </w:p>
    <w:p w:rsidR="009923E7" w:rsidRDefault="005253AD">
      <w:pPr>
        <w:ind w:firstLineChars="200" w:firstLine="640"/>
        <w:rPr>
          <w:rFonts w:ascii="仿宋" w:eastAsia="仿宋" w:hAnsi="仿宋" w:cs="Times New Roman"/>
          <w:kern w:val="0"/>
          <w:sz w:val="32"/>
          <w:szCs w:val="32"/>
        </w:rPr>
      </w:pPr>
      <w:r>
        <w:rPr>
          <w:rFonts w:ascii="仿宋" w:eastAsia="仿宋" w:hAnsi="仿宋" w:hint="eastAsia"/>
          <w:sz w:val="32"/>
          <w:szCs w:val="32"/>
        </w:rPr>
        <w:t>2018</w:t>
      </w:r>
      <w:r>
        <w:rPr>
          <w:rFonts w:ascii="仿宋" w:eastAsia="仿宋" w:hAnsi="仿宋" w:hint="eastAsia"/>
          <w:sz w:val="32"/>
          <w:szCs w:val="32"/>
        </w:rPr>
        <w:t>年，我院坚持以习近平新时代中国特色社会主义思想为指导，团结带领全区法院认真贯彻落实中央、自治区关于优化营商环境的决策部署，</w:t>
      </w:r>
      <w:r>
        <w:rPr>
          <w:rFonts w:ascii="仿宋" w:eastAsia="仿宋" w:hAnsi="仿宋" w:cs="Times New Roman" w:hint="eastAsia"/>
          <w:kern w:val="0"/>
          <w:sz w:val="32"/>
          <w:szCs w:val="32"/>
        </w:rPr>
        <w:t>充分发挥审判职能作用，牢固树立谦抑、审慎、善意、文明的司法理念，切实将优化营商环境措施落实到位，为全区经济持续健康发展营造良好的法治环境。</w:t>
      </w:r>
      <w:r>
        <w:rPr>
          <w:rFonts w:ascii="仿宋" w:eastAsia="仿宋" w:hAnsi="仿宋" w:hint="eastAsia"/>
          <w:kern w:val="0"/>
          <w:sz w:val="32"/>
          <w:szCs w:val="32"/>
        </w:rPr>
        <w:t>根据自治区绩效办《关于印发</w:t>
      </w:r>
      <w:r>
        <w:rPr>
          <w:rFonts w:ascii="仿宋" w:eastAsia="仿宋" w:hAnsi="仿宋" w:hint="eastAsia"/>
          <w:kern w:val="0"/>
          <w:sz w:val="32"/>
          <w:szCs w:val="32"/>
        </w:rPr>
        <w:t>&lt;2018</w:t>
      </w:r>
      <w:r>
        <w:rPr>
          <w:rFonts w:ascii="仿宋" w:eastAsia="仿宋" w:hAnsi="仿宋" w:hint="eastAsia"/>
          <w:kern w:val="0"/>
          <w:sz w:val="32"/>
          <w:szCs w:val="32"/>
        </w:rPr>
        <w:t>年度优化营商环境责任单位社会评价工作方案</w:t>
      </w:r>
      <w:r>
        <w:rPr>
          <w:rFonts w:ascii="仿宋" w:eastAsia="仿宋" w:hAnsi="仿宋" w:hint="eastAsia"/>
          <w:kern w:val="0"/>
          <w:sz w:val="32"/>
          <w:szCs w:val="32"/>
        </w:rPr>
        <w:t>&gt;</w:t>
      </w:r>
      <w:r>
        <w:rPr>
          <w:rFonts w:ascii="仿宋" w:eastAsia="仿宋" w:hAnsi="仿宋" w:hint="eastAsia"/>
          <w:kern w:val="0"/>
          <w:sz w:val="32"/>
          <w:szCs w:val="32"/>
        </w:rPr>
        <w:t>的通知》（</w:t>
      </w:r>
      <w:proofErr w:type="gramStart"/>
      <w:r>
        <w:rPr>
          <w:rFonts w:ascii="仿宋" w:eastAsia="仿宋" w:hAnsi="仿宋" w:hint="eastAsia"/>
          <w:kern w:val="0"/>
          <w:sz w:val="32"/>
          <w:szCs w:val="32"/>
        </w:rPr>
        <w:t>桂绩办</w:t>
      </w:r>
      <w:proofErr w:type="gramEnd"/>
      <w:r>
        <w:rPr>
          <w:rFonts w:ascii="仿宋" w:eastAsia="仿宋" w:hAnsi="仿宋" w:hint="eastAsia"/>
          <w:kern w:val="0"/>
          <w:sz w:val="32"/>
          <w:szCs w:val="32"/>
        </w:rPr>
        <w:t>发〔</w:t>
      </w:r>
      <w:r>
        <w:rPr>
          <w:rFonts w:ascii="仿宋" w:eastAsia="仿宋" w:hAnsi="仿宋" w:hint="eastAsia"/>
          <w:kern w:val="0"/>
          <w:sz w:val="32"/>
          <w:szCs w:val="32"/>
        </w:rPr>
        <w:t>2018</w:t>
      </w:r>
      <w:r>
        <w:rPr>
          <w:rFonts w:ascii="仿宋" w:eastAsia="仿宋" w:hAnsi="仿宋" w:hint="eastAsia"/>
          <w:kern w:val="0"/>
          <w:sz w:val="32"/>
          <w:szCs w:val="32"/>
        </w:rPr>
        <w:t>〕</w:t>
      </w:r>
      <w:r>
        <w:rPr>
          <w:rFonts w:ascii="仿宋" w:eastAsia="仿宋" w:hAnsi="仿宋" w:hint="eastAsia"/>
          <w:kern w:val="0"/>
          <w:sz w:val="32"/>
          <w:szCs w:val="32"/>
        </w:rPr>
        <w:t>21</w:t>
      </w:r>
      <w:r>
        <w:rPr>
          <w:rFonts w:ascii="仿宋" w:eastAsia="仿宋" w:hAnsi="仿宋" w:hint="eastAsia"/>
          <w:kern w:val="0"/>
          <w:sz w:val="32"/>
          <w:szCs w:val="32"/>
        </w:rPr>
        <w:t>号）要求，</w:t>
      </w:r>
      <w:r>
        <w:rPr>
          <w:rFonts w:ascii="仿宋" w:eastAsia="仿宋" w:hAnsi="仿宋" w:cs="Times New Roman" w:hint="eastAsia"/>
          <w:kern w:val="0"/>
          <w:sz w:val="32"/>
          <w:szCs w:val="32"/>
        </w:rPr>
        <w:t>现将</w:t>
      </w:r>
      <w:r>
        <w:rPr>
          <w:rFonts w:ascii="仿宋" w:eastAsia="仿宋" w:hAnsi="仿宋" w:hint="eastAsia"/>
          <w:kern w:val="0"/>
          <w:sz w:val="32"/>
          <w:szCs w:val="32"/>
        </w:rPr>
        <w:t>我院</w:t>
      </w:r>
      <w:r>
        <w:rPr>
          <w:rFonts w:ascii="仿宋" w:eastAsia="仿宋" w:hAnsi="仿宋" w:hint="eastAsia"/>
          <w:kern w:val="0"/>
          <w:sz w:val="32"/>
          <w:szCs w:val="32"/>
        </w:rPr>
        <w:t>2018</w:t>
      </w:r>
      <w:r>
        <w:rPr>
          <w:rFonts w:ascii="仿宋" w:eastAsia="仿宋" w:hAnsi="仿宋" w:hint="eastAsia"/>
          <w:kern w:val="0"/>
          <w:sz w:val="32"/>
          <w:szCs w:val="32"/>
        </w:rPr>
        <w:t>年优化营商环境</w:t>
      </w:r>
      <w:r>
        <w:rPr>
          <w:rFonts w:ascii="仿宋" w:eastAsia="仿宋" w:hAnsi="仿宋" w:cs="Times New Roman" w:hint="eastAsia"/>
          <w:kern w:val="0"/>
          <w:sz w:val="32"/>
          <w:szCs w:val="32"/>
        </w:rPr>
        <w:t>工作绩效成效展示如下：</w:t>
      </w:r>
    </w:p>
    <w:p w:rsidR="009923E7" w:rsidRDefault="005253AD">
      <w:pPr>
        <w:ind w:firstLineChars="200" w:firstLine="640"/>
        <w:rPr>
          <w:rFonts w:ascii="黑体" w:eastAsia="黑体" w:hAnsi="黑体" w:cs="Times New Roman"/>
          <w:kern w:val="0"/>
          <w:sz w:val="32"/>
          <w:szCs w:val="32"/>
        </w:rPr>
      </w:pPr>
      <w:r>
        <w:rPr>
          <w:rFonts w:ascii="黑体" w:eastAsia="黑体" w:hAnsi="黑体" w:cs="Times New Roman" w:hint="eastAsia"/>
          <w:kern w:val="0"/>
          <w:sz w:val="32"/>
          <w:szCs w:val="32"/>
        </w:rPr>
        <w:t>一、加强</w:t>
      </w:r>
      <w:r>
        <w:rPr>
          <w:rFonts w:ascii="黑体" w:eastAsia="黑体" w:hAnsi="黑体" w:cs="Times New Roman" w:hint="eastAsia"/>
          <w:spacing w:val="-8"/>
          <w:kern w:val="0"/>
          <w:sz w:val="32"/>
          <w:szCs w:val="32"/>
        </w:rPr>
        <w:t>领导，精心部署，把最高人民法院、自治区</w:t>
      </w:r>
      <w:r>
        <w:rPr>
          <w:rFonts w:ascii="黑体" w:eastAsia="黑体" w:hAnsi="黑体" w:cs="Times New Roman" w:hint="eastAsia"/>
          <w:kern w:val="0"/>
          <w:sz w:val="32"/>
          <w:szCs w:val="32"/>
        </w:rPr>
        <w:t>优化营商环境的司法保护决策部署落到实处</w:t>
      </w:r>
    </w:p>
    <w:p w:rsidR="009923E7" w:rsidRDefault="005253AD">
      <w:pPr>
        <w:ind w:firstLine="646"/>
        <w:rPr>
          <w:rFonts w:ascii="仿宋" w:eastAsia="仿宋" w:hAnsi="仿宋"/>
          <w:sz w:val="32"/>
          <w:szCs w:val="32"/>
        </w:rPr>
      </w:pPr>
      <w:r>
        <w:rPr>
          <w:rFonts w:ascii="仿宋" w:eastAsia="仿宋" w:hAnsi="仿宋" w:hint="eastAsia"/>
          <w:sz w:val="32"/>
          <w:szCs w:val="32"/>
        </w:rPr>
        <w:t>全区法院全面贯彻落实最高人民法院《关于为改善营商环境提供司法保障的若干意见》以及自治区党委、自治区人民政府《关于进一步深化改革创新优化营商环境的若干意见》</w:t>
      </w:r>
      <w:r>
        <w:rPr>
          <w:rFonts w:ascii="仿宋" w:eastAsia="仿宋" w:hAnsi="仿宋"/>
          <w:sz w:val="32"/>
          <w:szCs w:val="32"/>
        </w:rPr>
        <w:t>(</w:t>
      </w:r>
      <w:r>
        <w:rPr>
          <w:rFonts w:ascii="仿宋" w:eastAsia="仿宋" w:hAnsi="仿宋" w:hint="eastAsia"/>
          <w:sz w:val="32"/>
          <w:szCs w:val="32"/>
        </w:rPr>
        <w:t>桂发</w:t>
      </w:r>
      <w:r>
        <w:rPr>
          <w:rFonts w:ascii="仿宋" w:eastAsia="仿宋" w:hAnsi="仿宋"/>
          <w:sz w:val="32"/>
          <w:szCs w:val="32"/>
        </w:rPr>
        <w:t>〔</w:t>
      </w:r>
      <w:r>
        <w:rPr>
          <w:rFonts w:ascii="仿宋" w:eastAsia="仿宋" w:hAnsi="仿宋"/>
          <w:sz w:val="32"/>
          <w:szCs w:val="32"/>
        </w:rPr>
        <w:t>2018</w:t>
      </w:r>
      <w:r>
        <w:rPr>
          <w:rFonts w:ascii="仿宋" w:eastAsia="仿宋" w:hAnsi="仿宋"/>
          <w:sz w:val="32"/>
          <w:szCs w:val="32"/>
        </w:rPr>
        <w:t>〕</w:t>
      </w:r>
      <w:r>
        <w:rPr>
          <w:rFonts w:ascii="仿宋" w:eastAsia="仿宋" w:hAnsi="仿宋" w:hint="eastAsia"/>
          <w:sz w:val="32"/>
          <w:szCs w:val="32"/>
        </w:rPr>
        <w:t>10</w:t>
      </w:r>
      <w:r>
        <w:rPr>
          <w:rFonts w:ascii="仿宋" w:eastAsia="仿宋" w:hAnsi="仿宋"/>
          <w:sz w:val="32"/>
          <w:szCs w:val="32"/>
        </w:rPr>
        <w:t>号</w:t>
      </w:r>
      <w:r>
        <w:rPr>
          <w:rFonts w:ascii="仿宋" w:eastAsia="仿宋" w:hAnsi="仿宋"/>
          <w:sz w:val="32"/>
          <w:szCs w:val="32"/>
        </w:rPr>
        <w:t>)</w:t>
      </w:r>
      <w:r>
        <w:rPr>
          <w:rFonts w:ascii="仿宋" w:eastAsia="仿宋" w:hAnsi="仿宋" w:hint="eastAsia"/>
          <w:sz w:val="32"/>
          <w:szCs w:val="32"/>
        </w:rPr>
        <w:t>、自治区人民政府《</w:t>
      </w:r>
      <w:r>
        <w:rPr>
          <w:rFonts w:ascii="仿宋" w:eastAsia="仿宋" w:hAnsi="仿宋"/>
          <w:sz w:val="32"/>
          <w:szCs w:val="32"/>
        </w:rPr>
        <w:t>关于印发</w:t>
      </w:r>
      <w:r>
        <w:rPr>
          <w:rFonts w:ascii="仿宋" w:eastAsia="仿宋" w:hAnsi="仿宋" w:hint="eastAsia"/>
          <w:sz w:val="32"/>
          <w:szCs w:val="32"/>
        </w:rPr>
        <w:t>&lt;</w:t>
      </w:r>
      <w:r>
        <w:rPr>
          <w:rFonts w:ascii="仿宋" w:eastAsia="仿宋" w:hAnsi="仿宋"/>
          <w:sz w:val="32"/>
          <w:szCs w:val="32"/>
        </w:rPr>
        <w:t>鹿心社、陈武同志在全区深化改革优化营商环境大会上的讲话重点工作分工方案</w:t>
      </w:r>
      <w:r>
        <w:rPr>
          <w:rFonts w:ascii="仿宋" w:eastAsia="仿宋" w:hAnsi="仿宋" w:hint="eastAsia"/>
          <w:sz w:val="32"/>
          <w:szCs w:val="32"/>
        </w:rPr>
        <w:t>&gt;</w:t>
      </w:r>
      <w:r>
        <w:rPr>
          <w:rFonts w:ascii="仿宋" w:eastAsia="仿宋" w:hAnsi="仿宋"/>
          <w:sz w:val="32"/>
          <w:szCs w:val="32"/>
        </w:rPr>
        <w:t>和</w:t>
      </w:r>
      <w:r>
        <w:rPr>
          <w:rFonts w:ascii="仿宋" w:eastAsia="仿宋" w:hAnsi="仿宋" w:hint="eastAsia"/>
          <w:sz w:val="32"/>
          <w:szCs w:val="32"/>
        </w:rPr>
        <w:t>&lt;</w:t>
      </w:r>
      <w:r>
        <w:rPr>
          <w:rFonts w:ascii="仿宋" w:eastAsia="仿宋" w:hAnsi="仿宋"/>
          <w:sz w:val="32"/>
          <w:szCs w:val="32"/>
        </w:rPr>
        <w:t>鹿心社、陈武同志在全区工业高质量发展大会上的讲话重点工作分工方案</w:t>
      </w:r>
      <w:r>
        <w:rPr>
          <w:rFonts w:ascii="仿宋" w:eastAsia="仿宋" w:hAnsi="仿宋" w:hint="eastAsia"/>
          <w:sz w:val="32"/>
          <w:szCs w:val="32"/>
        </w:rPr>
        <w:t>&gt;</w:t>
      </w:r>
      <w:r>
        <w:rPr>
          <w:rFonts w:ascii="仿宋" w:eastAsia="仿宋" w:hAnsi="仿宋"/>
          <w:sz w:val="32"/>
          <w:szCs w:val="32"/>
        </w:rPr>
        <w:t>的通知</w:t>
      </w:r>
      <w:r>
        <w:rPr>
          <w:rFonts w:ascii="仿宋" w:eastAsia="仿宋" w:hAnsi="仿宋" w:hint="eastAsia"/>
          <w:sz w:val="32"/>
          <w:szCs w:val="32"/>
        </w:rPr>
        <w:t>》精神。</w:t>
      </w:r>
      <w:r>
        <w:rPr>
          <w:rFonts w:ascii="仿宋" w:eastAsia="仿宋" w:hAnsi="仿宋" w:hint="eastAsia"/>
          <w:sz w:val="32"/>
          <w:szCs w:val="32"/>
        </w:rPr>
        <w:t>2018</w:t>
      </w:r>
      <w:r>
        <w:rPr>
          <w:rFonts w:ascii="仿宋" w:eastAsia="仿宋" w:hAnsi="仿宋" w:hint="eastAsia"/>
          <w:sz w:val="32"/>
          <w:szCs w:val="32"/>
        </w:rPr>
        <w:t>年</w:t>
      </w:r>
      <w:r>
        <w:rPr>
          <w:rFonts w:ascii="仿宋" w:eastAsia="仿宋" w:hAnsi="仿宋" w:hint="eastAsia"/>
          <w:sz w:val="32"/>
          <w:szCs w:val="32"/>
        </w:rPr>
        <w:t>6</w:t>
      </w:r>
      <w:r>
        <w:rPr>
          <w:rFonts w:ascii="仿宋" w:eastAsia="仿宋" w:hAnsi="仿宋" w:hint="eastAsia"/>
          <w:sz w:val="32"/>
          <w:szCs w:val="32"/>
        </w:rPr>
        <w:t>月，自治区高级人民法院出台《关于为深化改革创新优化营商环境提供优质高效司法服务和</w:t>
      </w:r>
      <w:r>
        <w:rPr>
          <w:rFonts w:ascii="仿宋" w:eastAsia="仿宋" w:hAnsi="仿宋" w:hint="eastAsia"/>
          <w:sz w:val="32"/>
          <w:szCs w:val="32"/>
        </w:rPr>
        <w:lastRenderedPageBreak/>
        <w:t>保障的实施意见》（桂高法〔</w:t>
      </w:r>
      <w:r>
        <w:rPr>
          <w:rFonts w:ascii="仿宋" w:eastAsia="仿宋" w:hAnsi="仿宋" w:hint="eastAsia"/>
          <w:sz w:val="32"/>
          <w:szCs w:val="32"/>
        </w:rPr>
        <w:t>2018</w:t>
      </w:r>
      <w:r>
        <w:rPr>
          <w:rFonts w:ascii="仿宋" w:eastAsia="仿宋" w:hAnsi="仿宋" w:hint="eastAsia"/>
          <w:sz w:val="32"/>
          <w:szCs w:val="32"/>
        </w:rPr>
        <w:t>〕</w:t>
      </w:r>
      <w:r>
        <w:rPr>
          <w:rFonts w:ascii="仿宋" w:eastAsia="仿宋" w:hAnsi="仿宋" w:hint="eastAsia"/>
          <w:sz w:val="32"/>
          <w:szCs w:val="32"/>
        </w:rPr>
        <w:t>114</w:t>
      </w:r>
      <w:r>
        <w:rPr>
          <w:rFonts w:ascii="仿宋" w:eastAsia="仿宋" w:hAnsi="仿宋" w:hint="eastAsia"/>
          <w:sz w:val="32"/>
          <w:szCs w:val="32"/>
        </w:rPr>
        <w:t>号），要求全区法院坚持以习近平新时代中国特色社会主义思想为指导，将“优化营商环境人人有责，人人都是环境，人人都是形象”摆在突出位置，主动拓展司法服务职能，创新司法服务保障举措，营造稳定公平透明的法治营商环境，为推动新时代广西发展新跨越保驾护航。</w:t>
      </w:r>
    </w:p>
    <w:p w:rsidR="009923E7" w:rsidRDefault="005253AD">
      <w:pPr>
        <w:ind w:firstLineChars="200" w:firstLine="608"/>
        <w:rPr>
          <w:rFonts w:ascii="Times New Roman" w:eastAsia="黑体" w:hAnsi="Times New Roman" w:cs="Times New Roman"/>
          <w:spacing w:val="-8"/>
          <w:sz w:val="32"/>
          <w:szCs w:val="32"/>
        </w:rPr>
      </w:pPr>
      <w:r>
        <w:rPr>
          <w:rFonts w:ascii="Times New Roman" w:eastAsia="黑体" w:hAnsi="Times New Roman" w:cs="Times New Roman" w:hint="eastAsia"/>
          <w:spacing w:val="-8"/>
          <w:sz w:val="32"/>
          <w:szCs w:val="32"/>
        </w:rPr>
        <w:t>二、依法履行审判职能，准确把握和严格落实优化营商环境司法政策</w:t>
      </w:r>
    </w:p>
    <w:p w:rsidR="009923E7" w:rsidRDefault="005253AD">
      <w:pPr>
        <w:ind w:firstLineChars="200" w:firstLine="608"/>
        <w:jc w:val="left"/>
        <w:rPr>
          <w:rFonts w:ascii="仿宋" w:eastAsia="仿宋" w:hAnsi="仿宋"/>
          <w:sz w:val="32"/>
          <w:szCs w:val="32"/>
        </w:rPr>
      </w:pPr>
      <w:r>
        <w:rPr>
          <w:rFonts w:ascii="楷体" w:eastAsia="楷体" w:hAnsi="楷体" w:cs="Times New Roman" w:hint="eastAsia"/>
          <w:spacing w:val="-8"/>
          <w:kern w:val="0"/>
          <w:sz w:val="32"/>
          <w:szCs w:val="32"/>
        </w:rPr>
        <w:t>（一）加强刑事审判工作，加大对非法集资等涉</w:t>
      </w:r>
      <w:proofErr w:type="gramStart"/>
      <w:r>
        <w:rPr>
          <w:rFonts w:ascii="楷体" w:eastAsia="楷体" w:hAnsi="楷体" w:cs="Times New Roman" w:hint="eastAsia"/>
          <w:spacing w:val="-8"/>
          <w:kern w:val="0"/>
          <w:sz w:val="32"/>
          <w:szCs w:val="32"/>
        </w:rPr>
        <w:t>众涉利型</w:t>
      </w:r>
      <w:proofErr w:type="gramEnd"/>
      <w:r>
        <w:rPr>
          <w:rFonts w:ascii="楷体" w:eastAsia="楷体" w:hAnsi="楷体" w:cs="Times New Roman" w:hint="eastAsia"/>
          <w:spacing w:val="-8"/>
          <w:kern w:val="0"/>
          <w:sz w:val="32"/>
          <w:szCs w:val="32"/>
        </w:rPr>
        <w:t>犯罪案件的审</w:t>
      </w:r>
      <w:r>
        <w:rPr>
          <w:rFonts w:ascii="楷体" w:eastAsia="楷体" w:hAnsi="楷体" w:cs="Times New Roman" w:hint="eastAsia"/>
          <w:spacing w:val="-8"/>
          <w:kern w:val="0"/>
          <w:sz w:val="32"/>
          <w:szCs w:val="32"/>
        </w:rPr>
        <w:t>判力度。</w:t>
      </w:r>
      <w:r>
        <w:rPr>
          <w:rFonts w:ascii="仿宋" w:eastAsia="仿宋" w:hAnsi="仿宋" w:hint="eastAsia"/>
          <w:sz w:val="32"/>
          <w:szCs w:val="32"/>
        </w:rPr>
        <w:t>严厉打击危害金融犯罪案件。对非法吸收公众存款、骗取贷款等危害金融犯罪保持高压态势。其中，对柳州市中级人民法院受理的在广西有重大影响、涉案金额达到</w:t>
      </w:r>
      <w:r>
        <w:rPr>
          <w:rFonts w:ascii="仿宋" w:eastAsia="仿宋" w:hAnsi="仿宋" w:hint="eastAsia"/>
          <w:sz w:val="32"/>
          <w:szCs w:val="32"/>
        </w:rPr>
        <w:t>420</w:t>
      </w:r>
      <w:r>
        <w:rPr>
          <w:rFonts w:ascii="仿宋" w:eastAsia="仿宋" w:hAnsi="仿宋" w:hint="eastAsia"/>
          <w:sz w:val="32"/>
          <w:szCs w:val="32"/>
        </w:rPr>
        <w:t>亿元的中美天元融资性担保集团有限公司、吴东等人骗取贷款、单位行贿一案进行挂牌督办，主动向自治区党委政法委汇报工作进展，主动报请召开案件协调会，指导柳州市中级人民法院完成案件审理工作，该案已于</w:t>
      </w:r>
      <w:r>
        <w:rPr>
          <w:rFonts w:ascii="仿宋" w:eastAsia="仿宋" w:hAnsi="仿宋" w:hint="eastAsia"/>
          <w:sz w:val="32"/>
          <w:szCs w:val="32"/>
        </w:rPr>
        <w:t>11</w:t>
      </w:r>
      <w:r>
        <w:rPr>
          <w:rFonts w:ascii="仿宋" w:eastAsia="仿宋" w:hAnsi="仿宋" w:hint="eastAsia"/>
          <w:sz w:val="32"/>
          <w:szCs w:val="32"/>
        </w:rPr>
        <w:t>月</w:t>
      </w:r>
      <w:r>
        <w:rPr>
          <w:rFonts w:ascii="仿宋" w:eastAsia="仿宋" w:hAnsi="仿宋" w:hint="eastAsia"/>
          <w:sz w:val="32"/>
          <w:szCs w:val="32"/>
        </w:rPr>
        <w:t>2</w:t>
      </w:r>
      <w:r>
        <w:rPr>
          <w:rFonts w:ascii="仿宋" w:eastAsia="仿宋" w:hAnsi="仿宋" w:hint="eastAsia"/>
          <w:sz w:val="32"/>
          <w:szCs w:val="32"/>
        </w:rPr>
        <w:t>日</w:t>
      </w:r>
      <w:proofErr w:type="gramStart"/>
      <w:r>
        <w:rPr>
          <w:rFonts w:ascii="仿宋" w:eastAsia="仿宋" w:hAnsi="仿宋" w:hint="eastAsia"/>
          <w:sz w:val="32"/>
          <w:szCs w:val="32"/>
        </w:rPr>
        <w:t>作出</w:t>
      </w:r>
      <w:proofErr w:type="gramEnd"/>
      <w:r>
        <w:rPr>
          <w:rFonts w:ascii="仿宋" w:eastAsia="仿宋" w:hAnsi="仿宋" w:hint="eastAsia"/>
          <w:sz w:val="32"/>
          <w:szCs w:val="32"/>
        </w:rPr>
        <w:t>一审宣判。与此同时，审结关联案件柳州银行董事长刘忠受贿、违法发放贷款</w:t>
      </w:r>
      <w:r>
        <w:rPr>
          <w:rFonts w:ascii="仿宋" w:eastAsia="仿宋" w:hAnsi="仿宋" w:hint="eastAsia"/>
          <w:sz w:val="32"/>
          <w:szCs w:val="32"/>
        </w:rPr>
        <w:t>68</w:t>
      </w:r>
      <w:r>
        <w:rPr>
          <w:rFonts w:ascii="仿宋" w:eastAsia="仿宋" w:hAnsi="仿宋" w:hint="eastAsia"/>
          <w:sz w:val="32"/>
          <w:szCs w:val="32"/>
        </w:rPr>
        <w:t>亿案件。督办指导非法集资重大案件。根据自治区关于非法集资案件风险处置攻坚要求，</w:t>
      </w:r>
      <w:r>
        <w:rPr>
          <w:rFonts w:ascii="仿宋" w:eastAsia="仿宋" w:hAnsi="仿宋" w:hint="eastAsia"/>
          <w:sz w:val="32"/>
          <w:szCs w:val="32"/>
        </w:rPr>
        <w:t>为配合有关部门严</w:t>
      </w:r>
      <w:bookmarkStart w:id="0" w:name="_GoBack"/>
      <w:bookmarkEnd w:id="0"/>
      <w:r>
        <w:rPr>
          <w:rFonts w:ascii="仿宋" w:eastAsia="仿宋" w:hAnsi="仿宋" w:hint="eastAsia"/>
          <w:sz w:val="32"/>
          <w:szCs w:val="32"/>
        </w:rPr>
        <w:t>厉惩处非法集资犯罪，于</w:t>
      </w:r>
      <w:r>
        <w:rPr>
          <w:rFonts w:ascii="仿宋" w:eastAsia="仿宋" w:hAnsi="仿宋" w:hint="eastAsia"/>
          <w:sz w:val="32"/>
          <w:szCs w:val="32"/>
        </w:rPr>
        <w:t>2018</w:t>
      </w:r>
      <w:r>
        <w:rPr>
          <w:rFonts w:ascii="仿宋" w:eastAsia="仿宋" w:hAnsi="仿宋" w:hint="eastAsia"/>
          <w:sz w:val="32"/>
          <w:szCs w:val="32"/>
        </w:rPr>
        <w:t>年</w:t>
      </w:r>
      <w:r>
        <w:rPr>
          <w:rFonts w:ascii="仿宋" w:eastAsia="仿宋" w:hAnsi="仿宋" w:hint="eastAsia"/>
          <w:sz w:val="32"/>
          <w:szCs w:val="32"/>
        </w:rPr>
        <w:t>11</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日下发《关于将“</w:t>
      </w:r>
      <w:r>
        <w:rPr>
          <w:rFonts w:ascii="仿宋" w:eastAsia="仿宋" w:hAnsi="仿宋" w:hint="eastAsia"/>
          <w:sz w:val="32"/>
          <w:szCs w:val="32"/>
        </w:rPr>
        <w:t>MU</w:t>
      </w:r>
      <w:r>
        <w:rPr>
          <w:rFonts w:ascii="仿宋" w:eastAsia="仿宋" w:hAnsi="仿宋" w:hint="eastAsia"/>
          <w:sz w:val="32"/>
          <w:szCs w:val="32"/>
        </w:rPr>
        <w:t>”基金案、同城人人贷等非法集资重大案件（风险）列为督办案件的通知》，督促相关法院主动与有关部门对接，着力做好督办案件相关配合处置、社会稳控工作。</w:t>
      </w:r>
    </w:p>
    <w:p w:rsidR="009923E7" w:rsidRDefault="005253AD">
      <w:pPr>
        <w:ind w:firstLineChars="200" w:firstLine="640"/>
        <w:rPr>
          <w:rFonts w:ascii="仿宋_GB2312" w:eastAsia="仿宋_GB2312"/>
          <w:sz w:val="32"/>
          <w:szCs w:val="32"/>
        </w:rPr>
      </w:pPr>
      <w:r>
        <w:rPr>
          <w:rFonts w:ascii="楷体" w:eastAsia="楷体" w:hAnsi="楷体" w:cs="Times New Roman" w:hint="eastAsia"/>
          <w:kern w:val="0"/>
          <w:sz w:val="32"/>
          <w:szCs w:val="32"/>
        </w:rPr>
        <w:lastRenderedPageBreak/>
        <w:t>（二）加强破产审判工作，促进产业转型升级，着力营造依法保护民营企业合法权益的法治环境。</w:t>
      </w:r>
      <w:r>
        <w:rPr>
          <w:rFonts w:ascii="仿宋" w:eastAsia="仿宋" w:hAnsi="仿宋" w:hint="eastAsia"/>
          <w:sz w:val="32"/>
          <w:szCs w:val="32"/>
        </w:rPr>
        <w:t>2018</w:t>
      </w:r>
      <w:r>
        <w:rPr>
          <w:rFonts w:ascii="仿宋" w:eastAsia="仿宋" w:hAnsi="仿宋" w:hint="eastAsia"/>
          <w:sz w:val="32"/>
          <w:szCs w:val="32"/>
        </w:rPr>
        <w:t>年</w:t>
      </w:r>
      <w:r>
        <w:rPr>
          <w:rFonts w:ascii="仿宋" w:eastAsia="仿宋" w:hAnsi="仿宋" w:hint="eastAsia"/>
          <w:sz w:val="32"/>
          <w:szCs w:val="32"/>
        </w:rPr>
        <w:t>5</w:t>
      </w:r>
      <w:r>
        <w:rPr>
          <w:rFonts w:ascii="仿宋" w:eastAsia="仿宋" w:hAnsi="仿宋" w:hint="eastAsia"/>
          <w:sz w:val="32"/>
          <w:szCs w:val="32"/>
        </w:rPr>
        <w:t>月我院积极协助自治区政协委员提交的“关于加强人民法院破产审判工作的建议”提案，推动府院联席机制、破产启动基金制度、危困企业识别机制等重要机制的建立及落实。</w:t>
      </w:r>
      <w:r>
        <w:rPr>
          <w:rFonts w:ascii="仿宋" w:eastAsia="仿宋" w:hAnsi="仿宋" w:hint="eastAsia"/>
          <w:sz w:val="32"/>
          <w:szCs w:val="32"/>
        </w:rPr>
        <w:t>2018</w:t>
      </w:r>
      <w:r>
        <w:rPr>
          <w:rFonts w:ascii="仿宋" w:eastAsia="仿宋" w:hAnsi="仿宋" w:hint="eastAsia"/>
          <w:sz w:val="32"/>
          <w:szCs w:val="32"/>
        </w:rPr>
        <w:t>年</w:t>
      </w:r>
      <w:r>
        <w:rPr>
          <w:rFonts w:ascii="仿宋" w:eastAsia="仿宋" w:hAnsi="仿宋" w:hint="eastAsia"/>
          <w:sz w:val="32"/>
          <w:szCs w:val="32"/>
        </w:rPr>
        <w:t>6</w:t>
      </w:r>
      <w:r>
        <w:rPr>
          <w:rFonts w:ascii="仿宋" w:eastAsia="仿宋" w:hAnsi="仿宋" w:hint="eastAsia"/>
          <w:sz w:val="32"/>
          <w:szCs w:val="32"/>
        </w:rPr>
        <w:t>月</w:t>
      </w:r>
      <w:r>
        <w:rPr>
          <w:rFonts w:ascii="仿宋" w:eastAsia="仿宋" w:hAnsi="仿宋" w:hint="eastAsia"/>
          <w:sz w:val="32"/>
          <w:szCs w:val="32"/>
        </w:rPr>
        <w:t>26</w:t>
      </w:r>
      <w:r>
        <w:rPr>
          <w:rFonts w:ascii="仿宋" w:eastAsia="仿宋" w:hAnsi="仿宋" w:hint="eastAsia"/>
          <w:sz w:val="32"/>
          <w:szCs w:val="32"/>
        </w:rPr>
        <w:t>日，我院公布了更新后</w:t>
      </w:r>
      <w:r>
        <w:rPr>
          <w:rFonts w:ascii="仿宋" w:eastAsia="仿宋" w:hAnsi="仿宋" w:hint="eastAsia"/>
          <w:sz w:val="32"/>
          <w:szCs w:val="32"/>
        </w:rPr>
        <w:t>的《广西企业破产管理人名册》。近期将印发《广西企业破产管理人分级管理办法》，为统筹管理人资源、精确化管理奠定基础，推动完善破产重整、和解制度，促进有价值的危困企业再生。为充分发挥破产制度的积极功能，</w:t>
      </w:r>
      <w:proofErr w:type="gramStart"/>
      <w:r>
        <w:rPr>
          <w:rFonts w:ascii="仿宋" w:eastAsia="仿宋" w:hAnsi="仿宋" w:hint="eastAsia"/>
          <w:sz w:val="32"/>
          <w:szCs w:val="32"/>
        </w:rPr>
        <w:t>完善执行转</w:t>
      </w:r>
      <w:proofErr w:type="gramEnd"/>
      <w:r>
        <w:rPr>
          <w:rFonts w:ascii="仿宋" w:eastAsia="仿宋" w:hAnsi="仿宋" w:hint="eastAsia"/>
          <w:sz w:val="32"/>
          <w:szCs w:val="32"/>
        </w:rPr>
        <w:t>破产的程序衔接，解决执行难问题，目前我院正在起草《破产案件简化程序裁判指引》，破产案件审理周期偏长的实际情况将得到改善。</w:t>
      </w:r>
      <w:r>
        <w:rPr>
          <w:rFonts w:ascii="仿宋" w:eastAsia="仿宋" w:hAnsi="仿宋" w:hint="eastAsia"/>
          <w:sz w:val="32"/>
          <w:szCs w:val="32"/>
        </w:rPr>
        <w:t>2018</w:t>
      </w:r>
      <w:r>
        <w:rPr>
          <w:rFonts w:ascii="仿宋" w:eastAsia="仿宋" w:hAnsi="仿宋" w:hint="eastAsia"/>
          <w:sz w:val="32"/>
          <w:szCs w:val="32"/>
        </w:rPr>
        <w:t>年</w:t>
      </w:r>
      <w:r>
        <w:rPr>
          <w:rFonts w:ascii="仿宋" w:eastAsia="仿宋" w:hAnsi="仿宋" w:hint="eastAsia"/>
          <w:sz w:val="32"/>
          <w:szCs w:val="32"/>
        </w:rPr>
        <w:t>7</w:t>
      </w:r>
      <w:r>
        <w:rPr>
          <w:rFonts w:ascii="仿宋" w:eastAsia="仿宋" w:hAnsi="仿宋" w:hint="eastAsia"/>
          <w:sz w:val="32"/>
          <w:szCs w:val="32"/>
        </w:rPr>
        <w:t>月，自治区高级人民法院受理</w:t>
      </w:r>
      <w:proofErr w:type="gramStart"/>
      <w:r>
        <w:rPr>
          <w:rFonts w:ascii="仿宋" w:eastAsia="仿宋" w:hAnsi="仿宋" w:hint="eastAsia"/>
          <w:sz w:val="32"/>
          <w:szCs w:val="32"/>
        </w:rPr>
        <w:t>柳州正菱集团</w:t>
      </w:r>
      <w:proofErr w:type="gramEnd"/>
      <w:r>
        <w:rPr>
          <w:rFonts w:ascii="仿宋" w:eastAsia="仿宋" w:hAnsi="仿宋" w:hint="eastAsia"/>
          <w:sz w:val="32"/>
          <w:szCs w:val="32"/>
        </w:rPr>
        <w:t>有限公司及</w:t>
      </w:r>
      <w:r>
        <w:rPr>
          <w:rFonts w:ascii="仿宋" w:eastAsia="仿宋" w:hAnsi="仿宋" w:hint="eastAsia"/>
          <w:sz w:val="32"/>
          <w:szCs w:val="32"/>
        </w:rPr>
        <w:t>53</w:t>
      </w:r>
      <w:r>
        <w:rPr>
          <w:rFonts w:ascii="仿宋" w:eastAsia="仿宋" w:hAnsi="仿宋" w:hint="eastAsia"/>
          <w:sz w:val="32"/>
          <w:szCs w:val="32"/>
        </w:rPr>
        <w:t>家关联公司重整一案。</w:t>
      </w:r>
      <w:proofErr w:type="gramStart"/>
      <w:r>
        <w:rPr>
          <w:rFonts w:ascii="仿宋" w:eastAsia="仿宋" w:hAnsi="仿宋" w:hint="eastAsia"/>
          <w:sz w:val="32"/>
          <w:szCs w:val="32"/>
        </w:rPr>
        <w:t>正菱集团</w:t>
      </w:r>
      <w:proofErr w:type="gramEnd"/>
      <w:r>
        <w:rPr>
          <w:rFonts w:ascii="仿宋" w:eastAsia="仿宋" w:hAnsi="仿宋" w:hint="eastAsia"/>
          <w:sz w:val="32"/>
          <w:szCs w:val="32"/>
        </w:rPr>
        <w:t>是广西综合性大型民营企业集团，在广西乃至全国有较大影响力。该案涉及民间自然人债权人多达上千人</w:t>
      </w:r>
      <w:r>
        <w:rPr>
          <w:rFonts w:ascii="仿宋" w:eastAsia="仿宋" w:hAnsi="仿宋" w:hint="eastAsia"/>
          <w:sz w:val="32"/>
          <w:szCs w:val="32"/>
        </w:rPr>
        <w:t>；</w:t>
      </w:r>
      <w:proofErr w:type="gramStart"/>
      <w:r>
        <w:rPr>
          <w:rFonts w:ascii="仿宋" w:eastAsia="仿宋" w:hAnsi="仿宋" w:hint="eastAsia"/>
          <w:sz w:val="32"/>
          <w:szCs w:val="32"/>
        </w:rPr>
        <w:t>涉债总额</w:t>
      </w:r>
      <w:proofErr w:type="gramEnd"/>
      <w:r>
        <w:rPr>
          <w:rFonts w:ascii="仿宋" w:eastAsia="仿宋" w:hAnsi="仿宋" w:hint="eastAsia"/>
          <w:sz w:val="32"/>
          <w:szCs w:val="32"/>
        </w:rPr>
        <w:t>约</w:t>
      </w:r>
      <w:r>
        <w:rPr>
          <w:rFonts w:ascii="仿宋" w:eastAsia="仿宋" w:hAnsi="仿宋" w:hint="eastAsia"/>
          <w:sz w:val="32"/>
          <w:szCs w:val="32"/>
        </w:rPr>
        <w:t>300</w:t>
      </w:r>
      <w:r>
        <w:rPr>
          <w:rFonts w:ascii="仿宋" w:eastAsia="仿宋" w:hAnsi="仿宋" w:hint="eastAsia"/>
          <w:sz w:val="32"/>
          <w:szCs w:val="32"/>
        </w:rPr>
        <w:t>亿人民币，涉诉案件约</w:t>
      </w:r>
      <w:r>
        <w:rPr>
          <w:rFonts w:ascii="仿宋" w:eastAsia="仿宋" w:hAnsi="仿宋" w:hint="eastAsia"/>
          <w:sz w:val="32"/>
          <w:szCs w:val="32"/>
        </w:rPr>
        <w:t>420</w:t>
      </w:r>
      <w:r>
        <w:rPr>
          <w:rFonts w:ascii="仿宋" w:eastAsia="仿宋" w:hAnsi="仿宋" w:hint="eastAsia"/>
          <w:sz w:val="32"/>
          <w:szCs w:val="32"/>
        </w:rPr>
        <w:t>件，标的金额本息共计约</w:t>
      </w:r>
      <w:r>
        <w:rPr>
          <w:rFonts w:ascii="仿宋" w:eastAsia="仿宋" w:hAnsi="仿宋" w:hint="eastAsia"/>
          <w:sz w:val="32"/>
          <w:szCs w:val="32"/>
        </w:rPr>
        <w:t>85</w:t>
      </w:r>
      <w:r>
        <w:rPr>
          <w:rFonts w:ascii="仿宋" w:eastAsia="仿宋" w:hAnsi="仿宋" w:hint="eastAsia"/>
          <w:sz w:val="32"/>
          <w:szCs w:val="32"/>
        </w:rPr>
        <w:t>亿元，正在执行未结的案件</w:t>
      </w:r>
      <w:r>
        <w:rPr>
          <w:rFonts w:ascii="仿宋" w:eastAsia="仿宋" w:hAnsi="仿宋" w:hint="eastAsia"/>
          <w:sz w:val="32"/>
          <w:szCs w:val="32"/>
        </w:rPr>
        <w:t>66</w:t>
      </w:r>
      <w:r>
        <w:rPr>
          <w:rFonts w:ascii="仿宋" w:eastAsia="仿宋" w:hAnsi="仿宋" w:hint="eastAsia"/>
          <w:sz w:val="32"/>
          <w:szCs w:val="32"/>
        </w:rPr>
        <w:t>件，案值约</w:t>
      </w:r>
      <w:r>
        <w:rPr>
          <w:rFonts w:ascii="仿宋" w:eastAsia="仿宋" w:hAnsi="仿宋" w:hint="eastAsia"/>
          <w:sz w:val="32"/>
          <w:szCs w:val="32"/>
        </w:rPr>
        <w:t>9</w:t>
      </w:r>
      <w:r>
        <w:rPr>
          <w:rFonts w:ascii="仿宋" w:eastAsia="仿宋" w:hAnsi="仿宋" w:hint="eastAsia"/>
          <w:sz w:val="32"/>
          <w:szCs w:val="32"/>
        </w:rPr>
        <w:t>亿元；债务人的有形资产不仅涉及整个广西各个地市、县，还包含在江苏、福建等外省的相关优质资产。为更有利于公平保护债权人合法权益，有利于资源整合，降低成本，提高企业重整的司法效率，确保重整顺利进行，合议庭经综合考虑后，决定合并重整</w:t>
      </w:r>
      <w:proofErr w:type="gramStart"/>
      <w:r>
        <w:rPr>
          <w:rFonts w:ascii="仿宋" w:eastAsia="仿宋" w:hAnsi="仿宋" w:hint="eastAsia"/>
          <w:sz w:val="32"/>
          <w:szCs w:val="32"/>
        </w:rPr>
        <w:t>柳州正菱集团</w:t>
      </w:r>
      <w:proofErr w:type="gramEnd"/>
      <w:r>
        <w:rPr>
          <w:rFonts w:ascii="仿宋" w:eastAsia="仿宋" w:hAnsi="仿宋" w:hint="eastAsia"/>
          <w:sz w:val="32"/>
          <w:szCs w:val="32"/>
        </w:rPr>
        <w:t>及</w:t>
      </w:r>
      <w:r>
        <w:rPr>
          <w:rFonts w:ascii="仿宋" w:eastAsia="仿宋" w:hAnsi="仿宋" w:hint="eastAsia"/>
          <w:sz w:val="32"/>
          <w:szCs w:val="32"/>
        </w:rPr>
        <w:t>53</w:t>
      </w:r>
      <w:r>
        <w:rPr>
          <w:rFonts w:ascii="仿宋" w:eastAsia="仿宋" w:hAnsi="仿宋" w:hint="eastAsia"/>
          <w:sz w:val="32"/>
          <w:szCs w:val="32"/>
        </w:rPr>
        <w:t>家关联公司。</w:t>
      </w:r>
      <w:r>
        <w:rPr>
          <w:rFonts w:ascii="仿宋" w:eastAsia="仿宋" w:hAnsi="仿宋" w:hint="eastAsia"/>
          <w:sz w:val="32"/>
          <w:szCs w:val="32"/>
        </w:rPr>
        <w:t>11</w:t>
      </w:r>
      <w:r>
        <w:rPr>
          <w:rFonts w:ascii="仿宋" w:eastAsia="仿宋" w:hAnsi="仿宋" w:hint="eastAsia"/>
          <w:sz w:val="32"/>
          <w:szCs w:val="32"/>
        </w:rPr>
        <w:t>月中旬，本案已顺利召开第一次债权人会议，财产管理方案得到超过</w:t>
      </w:r>
      <w:r>
        <w:rPr>
          <w:rFonts w:ascii="仿宋" w:eastAsia="仿宋" w:hAnsi="仿宋" w:hint="eastAsia"/>
          <w:sz w:val="32"/>
          <w:szCs w:val="32"/>
        </w:rPr>
        <w:t>89%</w:t>
      </w:r>
      <w:r>
        <w:rPr>
          <w:rFonts w:ascii="仿宋" w:eastAsia="仿宋" w:hAnsi="仿宋" w:hint="eastAsia"/>
          <w:sz w:val="32"/>
          <w:szCs w:val="32"/>
        </w:rPr>
        <w:t>的到会债权</w:t>
      </w:r>
      <w:r>
        <w:rPr>
          <w:rFonts w:ascii="仿宋" w:eastAsia="仿宋" w:hAnsi="仿宋" w:hint="eastAsia"/>
          <w:sz w:val="32"/>
          <w:szCs w:val="32"/>
        </w:rPr>
        <w:lastRenderedPageBreak/>
        <w:t>人或代理人的认同并获通过。</w:t>
      </w:r>
    </w:p>
    <w:p w:rsidR="009923E7" w:rsidRDefault="005253AD">
      <w:pPr>
        <w:ind w:firstLineChars="200" w:firstLine="640"/>
        <w:rPr>
          <w:rFonts w:ascii="仿宋" w:eastAsia="仿宋" w:hAnsi="仿宋"/>
          <w:sz w:val="32"/>
          <w:szCs w:val="32"/>
        </w:rPr>
      </w:pPr>
      <w:r>
        <w:rPr>
          <w:rFonts w:ascii="楷体" w:eastAsia="楷体" w:hAnsi="楷体" w:cs="Times New Roman" w:hint="eastAsia"/>
          <w:kern w:val="0"/>
          <w:sz w:val="32"/>
          <w:szCs w:val="32"/>
        </w:rPr>
        <w:t>（三）认真贯彻落实国家知识产权战略，加</w:t>
      </w:r>
      <w:r>
        <w:rPr>
          <w:rFonts w:ascii="楷体" w:eastAsia="楷体" w:hAnsi="楷体" w:cs="Times New Roman" w:hint="eastAsia"/>
          <w:kern w:val="0"/>
          <w:sz w:val="32"/>
          <w:szCs w:val="32"/>
        </w:rPr>
        <w:t>大知识产权保护力度。</w:t>
      </w:r>
      <w:r>
        <w:rPr>
          <w:rFonts w:ascii="仿宋" w:eastAsia="仿宋" w:hAnsi="仿宋" w:hint="eastAsia"/>
          <w:sz w:val="32"/>
          <w:szCs w:val="32"/>
        </w:rPr>
        <w:t>自治区高级人民法院坚持以深化改革、完善制度、统一规则为着力点，积极探索符合知识产权案件审理规律的审判体制机制创新，知识产权司法保护力度进一步加大，有效遏制各类侵权行为。</w:t>
      </w:r>
      <w:r>
        <w:rPr>
          <w:rFonts w:ascii="仿宋" w:eastAsia="仿宋" w:hAnsi="仿宋" w:hint="eastAsia"/>
          <w:sz w:val="32"/>
          <w:szCs w:val="32"/>
        </w:rPr>
        <w:t>2018</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w:t>
      </w:r>
      <w:r>
        <w:rPr>
          <w:rFonts w:ascii="仿宋" w:eastAsia="仿宋" w:hAnsi="仿宋" w:hint="eastAsia"/>
          <w:sz w:val="32"/>
          <w:szCs w:val="32"/>
        </w:rPr>
        <w:t>10</w:t>
      </w:r>
      <w:r>
        <w:rPr>
          <w:rFonts w:ascii="仿宋" w:eastAsia="仿宋" w:hAnsi="仿宋" w:hint="eastAsia"/>
          <w:sz w:val="32"/>
          <w:szCs w:val="32"/>
        </w:rPr>
        <w:t>月全区法院共受理各类知识产权与竞争纠纷案件</w:t>
      </w:r>
      <w:r>
        <w:rPr>
          <w:rFonts w:ascii="仿宋" w:eastAsia="仿宋" w:hAnsi="仿宋" w:hint="eastAsia"/>
          <w:sz w:val="32"/>
          <w:szCs w:val="32"/>
        </w:rPr>
        <w:t>2239</w:t>
      </w:r>
      <w:r>
        <w:rPr>
          <w:rFonts w:ascii="仿宋" w:eastAsia="仿宋" w:hAnsi="仿宋" w:hint="eastAsia"/>
          <w:sz w:val="32"/>
          <w:szCs w:val="32"/>
        </w:rPr>
        <w:t>件，审结</w:t>
      </w:r>
      <w:r>
        <w:rPr>
          <w:rFonts w:ascii="仿宋" w:eastAsia="仿宋" w:hAnsi="仿宋" w:hint="eastAsia"/>
          <w:sz w:val="32"/>
          <w:szCs w:val="32"/>
        </w:rPr>
        <w:t>1454</w:t>
      </w:r>
      <w:r>
        <w:rPr>
          <w:rFonts w:ascii="仿宋" w:eastAsia="仿宋" w:hAnsi="仿宋" w:hint="eastAsia"/>
          <w:sz w:val="32"/>
          <w:szCs w:val="32"/>
        </w:rPr>
        <w:t>件。今年下半年，自治区高级人民法院组织开展了“建立以知识产权市场价值为指引，补偿为主、惩罚为辅的侵权损害司法认定机制”的专项调研，结合目前广西法院知识产权民事审判的工作实际和优化营商环境的迫切需要，选择以商标案件侵权损害赔偿为切入点，深入研</w:t>
      </w:r>
      <w:r>
        <w:rPr>
          <w:rFonts w:ascii="仿宋" w:eastAsia="仿宋" w:hAnsi="仿宋" w:hint="eastAsia"/>
          <w:sz w:val="32"/>
          <w:szCs w:val="32"/>
        </w:rPr>
        <w:t>究商标侵权纠纷中损害赔偿的裁判方法及裁判规则。通过选取南宁、柳州、桂林三个中级人民法院审理的</w:t>
      </w:r>
      <w:r>
        <w:rPr>
          <w:rFonts w:ascii="仿宋" w:eastAsia="仿宋" w:hAnsi="仿宋" w:hint="eastAsia"/>
          <w:sz w:val="32"/>
          <w:szCs w:val="32"/>
        </w:rPr>
        <w:t>298</w:t>
      </w:r>
      <w:r>
        <w:rPr>
          <w:rFonts w:ascii="仿宋" w:eastAsia="仿宋" w:hAnsi="仿宋" w:hint="eastAsia"/>
          <w:sz w:val="32"/>
          <w:szCs w:val="32"/>
        </w:rPr>
        <w:t>件商标侵权纠纷案件为样本，对广西法院在商标案件审判实践中关于确定赔偿数额的典型案例进行实证分析，并进行理论化、系统化、规范化的总结，以期建立一套符合审判实践的商标案件侵权损害赔偿机制，进一步提升我区法院知识产权司法保护的整体水平。</w:t>
      </w:r>
    </w:p>
    <w:p w:rsidR="009923E7" w:rsidRDefault="005253AD">
      <w:pPr>
        <w:ind w:firstLineChars="200" w:firstLine="608"/>
        <w:rPr>
          <w:rFonts w:ascii="Times New Roman" w:eastAsia="黑体" w:hAnsi="Times New Roman" w:cs="Times New Roman"/>
          <w:spacing w:val="-8"/>
          <w:sz w:val="32"/>
          <w:szCs w:val="32"/>
        </w:rPr>
      </w:pPr>
      <w:r>
        <w:rPr>
          <w:rFonts w:ascii="Times New Roman" w:eastAsia="黑体" w:hAnsi="Times New Roman" w:cs="Times New Roman" w:hint="eastAsia"/>
          <w:spacing w:val="-8"/>
          <w:sz w:val="32"/>
          <w:szCs w:val="32"/>
        </w:rPr>
        <w:t>三、打造公正高效便捷的诉讼服务环境，</w:t>
      </w:r>
      <w:proofErr w:type="gramStart"/>
      <w:r>
        <w:rPr>
          <w:rFonts w:ascii="Times New Roman" w:eastAsia="黑体" w:hAnsi="Times New Roman" w:cs="Times New Roman" w:hint="eastAsia"/>
          <w:spacing w:val="-8"/>
          <w:sz w:val="32"/>
          <w:szCs w:val="32"/>
        </w:rPr>
        <w:t>规范诉调对接</w:t>
      </w:r>
      <w:proofErr w:type="gramEnd"/>
      <w:r>
        <w:rPr>
          <w:rFonts w:ascii="Times New Roman" w:eastAsia="黑体" w:hAnsi="Times New Roman" w:cs="Times New Roman" w:hint="eastAsia"/>
          <w:spacing w:val="-8"/>
          <w:sz w:val="32"/>
          <w:szCs w:val="32"/>
        </w:rPr>
        <w:t>工作，提升司法质效</w:t>
      </w:r>
    </w:p>
    <w:p w:rsidR="009923E7" w:rsidRDefault="005253AD">
      <w:pPr>
        <w:ind w:firstLineChars="200" w:firstLine="640"/>
        <w:rPr>
          <w:rFonts w:ascii="仿宋" w:eastAsia="仿宋" w:hAnsi="仿宋"/>
          <w:sz w:val="32"/>
          <w:szCs w:val="32"/>
        </w:rPr>
      </w:pPr>
      <w:r>
        <w:rPr>
          <w:rFonts w:ascii="楷体" w:eastAsia="楷体" w:hAnsi="楷体" w:hint="eastAsia"/>
          <w:sz w:val="32"/>
          <w:szCs w:val="32"/>
        </w:rPr>
        <w:t>（一）建章立制，加强对全区法院的立案指导。</w:t>
      </w:r>
      <w:r>
        <w:rPr>
          <w:rFonts w:ascii="仿宋" w:eastAsia="仿宋" w:hAnsi="仿宋" w:hint="eastAsia"/>
          <w:sz w:val="32"/>
          <w:szCs w:val="32"/>
        </w:rPr>
        <w:t>2018</w:t>
      </w:r>
      <w:r>
        <w:rPr>
          <w:rFonts w:ascii="仿宋" w:eastAsia="仿宋" w:hAnsi="仿宋" w:hint="eastAsia"/>
          <w:sz w:val="32"/>
          <w:szCs w:val="32"/>
        </w:rPr>
        <w:t>年</w:t>
      </w:r>
      <w:r>
        <w:rPr>
          <w:rFonts w:ascii="仿宋" w:eastAsia="仿宋" w:hAnsi="仿宋" w:hint="eastAsia"/>
          <w:sz w:val="32"/>
          <w:szCs w:val="32"/>
        </w:rPr>
        <w:t>4</w:t>
      </w:r>
      <w:r>
        <w:rPr>
          <w:rFonts w:ascii="仿宋" w:eastAsia="仿宋" w:hAnsi="仿宋" w:hint="eastAsia"/>
          <w:sz w:val="32"/>
          <w:szCs w:val="32"/>
        </w:rPr>
        <w:t>月</w:t>
      </w:r>
      <w:r>
        <w:rPr>
          <w:rFonts w:ascii="仿宋" w:eastAsia="仿宋" w:hAnsi="仿宋" w:hint="eastAsia"/>
          <w:sz w:val="32"/>
          <w:szCs w:val="32"/>
        </w:rPr>
        <w:t>24</w:t>
      </w:r>
      <w:r>
        <w:rPr>
          <w:rFonts w:ascii="仿宋" w:eastAsia="仿宋" w:hAnsi="仿宋" w:hint="eastAsia"/>
          <w:sz w:val="32"/>
          <w:szCs w:val="32"/>
        </w:rPr>
        <w:t>日，自治区高级人民法院在柳州市中院召开全区法院深化立案</w:t>
      </w:r>
      <w:r>
        <w:rPr>
          <w:rFonts w:ascii="仿宋" w:eastAsia="仿宋" w:hAnsi="仿宋" w:hint="eastAsia"/>
          <w:sz w:val="32"/>
          <w:szCs w:val="32"/>
        </w:rPr>
        <w:t>登记制改革座谈会。要求全区法院要更新理念、转变观念，</w:t>
      </w:r>
      <w:r>
        <w:rPr>
          <w:rFonts w:ascii="仿宋" w:eastAsia="仿宋" w:hAnsi="仿宋" w:hint="eastAsia"/>
          <w:sz w:val="32"/>
          <w:szCs w:val="32"/>
        </w:rPr>
        <w:lastRenderedPageBreak/>
        <w:t>毫不动摇地推进立案登记制改革。同时，出台了《广西高级人民法院各类案件移送工作暂行规定》，规范上下级法院、高院机关各部门之间二审案件移送标准和具体要求。目前又起草了《关于复查、再审案件调卷工作的暂行规定》，并对《民商事案件立案规范指引》和《行政案件立案规范指引》进行修改完善，明确立案登记工作中的具体操作步骤、要求，巩固并深化立案登记制改革工作。截至</w:t>
      </w:r>
      <w:r>
        <w:rPr>
          <w:rFonts w:ascii="仿宋" w:eastAsia="仿宋" w:hAnsi="仿宋" w:hint="eastAsia"/>
          <w:sz w:val="32"/>
          <w:szCs w:val="32"/>
        </w:rPr>
        <w:t>2018</w:t>
      </w:r>
      <w:r>
        <w:rPr>
          <w:rFonts w:ascii="仿宋" w:eastAsia="仿宋" w:hAnsi="仿宋" w:hint="eastAsia"/>
          <w:sz w:val="32"/>
          <w:szCs w:val="32"/>
        </w:rPr>
        <w:t>年</w:t>
      </w:r>
      <w:r>
        <w:rPr>
          <w:rFonts w:ascii="仿宋" w:eastAsia="仿宋" w:hAnsi="仿宋" w:hint="eastAsia"/>
          <w:sz w:val="32"/>
          <w:szCs w:val="32"/>
        </w:rPr>
        <w:t>11</w:t>
      </w:r>
      <w:r>
        <w:rPr>
          <w:rFonts w:ascii="仿宋" w:eastAsia="仿宋" w:hAnsi="仿宋" w:hint="eastAsia"/>
          <w:sz w:val="32"/>
          <w:szCs w:val="32"/>
        </w:rPr>
        <w:t>月，全区三级法院裁定不予受理的民商事案件</w:t>
      </w:r>
      <w:r>
        <w:rPr>
          <w:rFonts w:ascii="仿宋" w:eastAsia="仿宋" w:hAnsi="仿宋" w:hint="eastAsia"/>
          <w:sz w:val="32"/>
          <w:szCs w:val="32"/>
        </w:rPr>
        <w:t>1415</w:t>
      </w:r>
      <w:r>
        <w:rPr>
          <w:rFonts w:ascii="仿宋" w:eastAsia="仿宋" w:hAnsi="仿宋" w:hint="eastAsia"/>
          <w:sz w:val="32"/>
          <w:szCs w:val="32"/>
        </w:rPr>
        <w:t>件，占受理</w:t>
      </w:r>
      <w:proofErr w:type="gramStart"/>
      <w:r>
        <w:rPr>
          <w:rFonts w:ascii="仿宋" w:eastAsia="仿宋" w:hAnsi="仿宋" w:hint="eastAsia"/>
          <w:sz w:val="32"/>
          <w:szCs w:val="32"/>
        </w:rPr>
        <w:t>一审民</w:t>
      </w:r>
      <w:proofErr w:type="gramEnd"/>
      <w:r>
        <w:rPr>
          <w:rFonts w:ascii="仿宋" w:eastAsia="仿宋" w:hAnsi="仿宋" w:hint="eastAsia"/>
          <w:sz w:val="32"/>
          <w:szCs w:val="32"/>
        </w:rPr>
        <w:t>商事案件</w:t>
      </w:r>
      <w:r>
        <w:rPr>
          <w:rFonts w:ascii="仿宋" w:eastAsia="仿宋" w:hAnsi="仿宋" w:hint="eastAsia"/>
          <w:sz w:val="32"/>
          <w:szCs w:val="32"/>
        </w:rPr>
        <w:t>281457</w:t>
      </w:r>
      <w:r>
        <w:rPr>
          <w:rFonts w:ascii="仿宋" w:eastAsia="仿宋" w:hAnsi="仿宋" w:hint="eastAsia"/>
          <w:sz w:val="32"/>
          <w:szCs w:val="32"/>
        </w:rPr>
        <w:t>件的</w:t>
      </w:r>
      <w:r>
        <w:rPr>
          <w:rFonts w:ascii="仿宋" w:eastAsia="仿宋" w:hAnsi="仿宋" w:hint="eastAsia"/>
          <w:sz w:val="32"/>
          <w:szCs w:val="32"/>
        </w:rPr>
        <w:t>0.5%</w:t>
      </w:r>
      <w:r>
        <w:rPr>
          <w:rFonts w:ascii="仿宋" w:eastAsia="仿宋" w:hAnsi="仿宋" w:hint="eastAsia"/>
          <w:sz w:val="32"/>
          <w:szCs w:val="32"/>
        </w:rPr>
        <w:t>。</w:t>
      </w:r>
    </w:p>
    <w:p w:rsidR="009923E7" w:rsidRDefault="005253AD">
      <w:pPr>
        <w:ind w:firstLineChars="200" w:firstLine="640"/>
        <w:rPr>
          <w:rFonts w:ascii="仿宋" w:eastAsia="仿宋" w:hAnsi="仿宋"/>
          <w:sz w:val="32"/>
          <w:szCs w:val="32"/>
        </w:rPr>
      </w:pPr>
      <w:r>
        <w:rPr>
          <w:rFonts w:ascii="楷体" w:eastAsia="楷体" w:hAnsi="楷体" w:hint="eastAsia"/>
          <w:sz w:val="32"/>
          <w:szCs w:val="32"/>
        </w:rPr>
        <w:t>（二）建立矛盾纠纷化解对接机制，更好地化解纠纷。</w:t>
      </w:r>
      <w:r>
        <w:rPr>
          <w:rFonts w:ascii="仿宋" w:eastAsia="仿宋" w:hAnsi="仿宋" w:hint="eastAsia"/>
          <w:sz w:val="32"/>
          <w:szCs w:val="32"/>
        </w:rPr>
        <w:t>根据最高人民法院司改办会同中国侨联权益保障部召开的涉侨纠纷多元化解试点工作推进会的会议精神，我院经过了解、考察，征求自治区侨联意见，确定容县人民法院、防城港市防城区人民法院为涉侨多元化纠纷解决机制的试点，已下发确定试点单位的正式文件，并积极指导试点法院开展相关工作。在自治区高级人民法院的统一部署下，全区基层</w:t>
      </w:r>
      <w:proofErr w:type="gramStart"/>
      <w:r>
        <w:rPr>
          <w:rFonts w:ascii="仿宋" w:eastAsia="仿宋" w:hAnsi="仿宋" w:hint="eastAsia"/>
          <w:sz w:val="32"/>
          <w:szCs w:val="32"/>
        </w:rPr>
        <w:t>法院诉调对接</w:t>
      </w:r>
      <w:proofErr w:type="gramEnd"/>
      <w:r>
        <w:rPr>
          <w:rFonts w:ascii="仿宋" w:eastAsia="仿宋" w:hAnsi="仿宋" w:hint="eastAsia"/>
          <w:sz w:val="32"/>
          <w:szCs w:val="32"/>
        </w:rPr>
        <w:t>工作迅速展开，力争今年通过委派调解、委托调解化解纠纷，在全区基层法院多元纠纷化解的纠纷达到立案庭受理民商事案件快速审判数的</w:t>
      </w:r>
      <w:r>
        <w:rPr>
          <w:rFonts w:ascii="仿宋" w:eastAsia="仿宋" w:hAnsi="仿宋" w:hint="eastAsia"/>
          <w:sz w:val="32"/>
          <w:szCs w:val="32"/>
        </w:rPr>
        <w:t>10%</w:t>
      </w:r>
      <w:r>
        <w:rPr>
          <w:rFonts w:ascii="仿宋" w:eastAsia="仿宋" w:hAnsi="仿宋" w:hint="eastAsia"/>
          <w:sz w:val="32"/>
          <w:szCs w:val="32"/>
        </w:rPr>
        <w:t>以上。</w:t>
      </w:r>
    </w:p>
    <w:p w:rsidR="009923E7" w:rsidRDefault="005253AD">
      <w:pPr>
        <w:ind w:firstLineChars="200" w:firstLine="640"/>
        <w:rPr>
          <w:rFonts w:ascii="仿宋" w:eastAsia="仿宋" w:hAnsi="仿宋"/>
          <w:sz w:val="32"/>
          <w:szCs w:val="32"/>
        </w:rPr>
      </w:pPr>
      <w:r>
        <w:rPr>
          <w:rFonts w:ascii="楷体" w:eastAsia="楷体" w:hAnsi="楷体" w:hint="eastAsia"/>
          <w:sz w:val="32"/>
          <w:szCs w:val="32"/>
        </w:rPr>
        <w:t>（三）</w:t>
      </w:r>
      <w:r>
        <w:rPr>
          <w:rFonts w:ascii="楷体" w:eastAsia="楷体" w:hAnsi="楷体" w:hint="eastAsia"/>
          <w:sz w:val="32"/>
          <w:szCs w:val="32"/>
        </w:rPr>
        <w:t>依托“智慧法院”，建设了矛盾纠纷多元化解平台。</w:t>
      </w:r>
      <w:r>
        <w:rPr>
          <w:rFonts w:ascii="仿宋" w:eastAsia="仿宋" w:hAnsi="仿宋" w:hint="eastAsia"/>
          <w:sz w:val="32"/>
          <w:szCs w:val="32"/>
        </w:rPr>
        <w:t>广西法院矛盾纠纷多元化解平台通过</w:t>
      </w:r>
      <w:r>
        <w:rPr>
          <w:rFonts w:ascii="仿宋" w:eastAsia="仿宋" w:hAnsi="仿宋" w:hint="eastAsia"/>
          <w:sz w:val="32"/>
          <w:szCs w:val="32"/>
        </w:rPr>
        <w:t>PC</w:t>
      </w:r>
      <w:r>
        <w:rPr>
          <w:rFonts w:ascii="仿宋" w:eastAsia="仿宋" w:hAnsi="仿宋" w:hint="eastAsia"/>
          <w:sz w:val="32"/>
          <w:szCs w:val="32"/>
        </w:rPr>
        <w:t>端、移动端结合，内网、互联网交互的方式，为法院、调解机构、当事人三方提供调解引导、调解申请、调解登记、调解分配、调解办理、远程视频调解、调解成功</w:t>
      </w:r>
      <w:proofErr w:type="gramStart"/>
      <w:r>
        <w:rPr>
          <w:rFonts w:ascii="仿宋" w:eastAsia="仿宋" w:hAnsi="仿宋" w:hint="eastAsia"/>
          <w:sz w:val="32"/>
          <w:szCs w:val="32"/>
        </w:rPr>
        <w:t>转司法</w:t>
      </w:r>
      <w:proofErr w:type="gramEnd"/>
      <w:r>
        <w:rPr>
          <w:rFonts w:ascii="仿宋" w:eastAsia="仿宋" w:hAnsi="仿宋" w:hint="eastAsia"/>
          <w:sz w:val="32"/>
          <w:szCs w:val="32"/>
        </w:rPr>
        <w:t>确认、调解失败转立案、调解机构维护、调解人</w:t>
      </w:r>
      <w:r>
        <w:rPr>
          <w:rFonts w:ascii="仿宋" w:eastAsia="仿宋" w:hAnsi="仿宋" w:hint="eastAsia"/>
          <w:sz w:val="32"/>
          <w:szCs w:val="32"/>
        </w:rPr>
        <w:lastRenderedPageBreak/>
        <w:t>员准入、统计分析等功能，实现从调解登记到调解转办，从调解机构管理到调解案件监控等“一站式”流程性调解办理，实现多元化调解机制与法院诉讼程序无缝对接，打通了诉讼与调解之间的通道，方便法官快速立案。整个调解过程程序公开、全程留痕，有效防止调解</w:t>
      </w:r>
      <w:r>
        <w:rPr>
          <w:rFonts w:ascii="仿宋" w:eastAsia="仿宋" w:hAnsi="仿宋" w:hint="eastAsia"/>
          <w:sz w:val="32"/>
          <w:szCs w:val="32"/>
        </w:rPr>
        <w:t>过程中的廉政风险问题。针对当事人距离远、纠纷解决成本高、参与诉前调解积极性低的问题，平台为调解机构、调解人提供电脑网上调解和手机移动端</w:t>
      </w:r>
      <w:r>
        <w:rPr>
          <w:rFonts w:ascii="仿宋" w:eastAsia="仿宋" w:hAnsi="仿宋" w:hint="eastAsia"/>
          <w:sz w:val="32"/>
          <w:szCs w:val="32"/>
        </w:rPr>
        <w:t>APP</w:t>
      </w:r>
      <w:r>
        <w:rPr>
          <w:rFonts w:ascii="仿宋" w:eastAsia="仿宋" w:hAnsi="仿宋" w:hint="eastAsia"/>
          <w:sz w:val="32"/>
          <w:szCs w:val="32"/>
        </w:rPr>
        <w:t>两种工作模式，便于随时随地组织调解、参加调解、记录调解信息、查询调解情况。如今，当事人足不出户，仅需通过电脑端或手机下载</w:t>
      </w:r>
      <w:r>
        <w:rPr>
          <w:rFonts w:ascii="仿宋" w:eastAsia="仿宋" w:hAnsi="仿宋" w:hint="eastAsia"/>
          <w:sz w:val="32"/>
          <w:szCs w:val="32"/>
        </w:rPr>
        <w:t>APP</w:t>
      </w:r>
      <w:r>
        <w:rPr>
          <w:rFonts w:ascii="仿宋" w:eastAsia="仿宋" w:hAnsi="仿宋" w:hint="eastAsia"/>
          <w:sz w:val="32"/>
          <w:szCs w:val="32"/>
        </w:rPr>
        <w:t>完成实名验证，即可以进行网上诉前调解，最大程度地降低了异地参与诉前调解的成本，为不便到法院参加调解的当事人提供了极大便利。</w:t>
      </w:r>
    </w:p>
    <w:p w:rsidR="009923E7" w:rsidRDefault="005253AD">
      <w:pPr>
        <w:ind w:firstLineChars="200" w:firstLine="640"/>
        <w:rPr>
          <w:rFonts w:ascii="仿宋" w:eastAsia="仿宋" w:hAnsi="仿宋"/>
          <w:sz w:val="32"/>
          <w:szCs w:val="32"/>
        </w:rPr>
      </w:pPr>
      <w:r>
        <w:rPr>
          <w:rFonts w:ascii="楷体" w:eastAsia="楷体" w:hAnsi="楷体" w:hint="eastAsia"/>
          <w:sz w:val="32"/>
          <w:szCs w:val="32"/>
        </w:rPr>
        <w:t>（四）依托开展“质效提升年”行动，集中清理长期未结涉企诉讼案件。</w:t>
      </w:r>
      <w:r>
        <w:rPr>
          <w:rFonts w:ascii="仿宋" w:eastAsia="仿宋" w:hAnsi="仿宋" w:hint="eastAsia"/>
          <w:sz w:val="32"/>
          <w:szCs w:val="32"/>
        </w:rPr>
        <w:t>2018</w:t>
      </w:r>
      <w:r>
        <w:rPr>
          <w:rFonts w:ascii="仿宋" w:eastAsia="仿宋" w:hAnsi="仿宋" w:hint="eastAsia"/>
          <w:sz w:val="32"/>
          <w:szCs w:val="32"/>
        </w:rPr>
        <w:t>年</w:t>
      </w:r>
      <w:r>
        <w:rPr>
          <w:rFonts w:ascii="仿宋" w:eastAsia="仿宋" w:hAnsi="仿宋" w:hint="eastAsia"/>
          <w:sz w:val="32"/>
          <w:szCs w:val="32"/>
        </w:rPr>
        <w:t>6</w:t>
      </w:r>
      <w:r>
        <w:rPr>
          <w:rFonts w:ascii="仿宋" w:eastAsia="仿宋" w:hAnsi="仿宋" w:hint="eastAsia"/>
          <w:sz w:val="32"/>
          <w:szCs w:val="32"/>
        </w:rPr>
        <w:t>月</w:t>
      </w:r>
      <w:r>
        <w:rPr>
          <w:rFonts w:ascii="仿宋" w:eastAsia="仿宋" w:hAnsi="仿宋" w:hint="eastAsia"/>
          <w:sz w:val="32"/>
          <w:szCs w:val="32"/>
        </w:rPr>
        <w:t>22</w:t>
      </w:r>
      <w:r>
        <w:rPr>
          <w:rFonts w:ascii="仿宋" w:eastAsia="仿宋" w:hAnsi="仿宋" w:hint="eastAsia"/>
          <w:sz w:val="32"/>
          <w:szCs w:val="32"/>
        </w:rPr>
        <w:t>日，自治区高级人民法院下发了《关于开展全</w:t>
      </w:r>
      <w:r>
        <w:rPr>
          <w:rFonts w:ascii="仿宋" w:eastAsia="仿宋" w:hAnsi="仿宋" w:hint="eastAsia"/>
          <w:sz w:val="32"/>
          <w:szCs w:val="32"/>
        </w:rPr>
        <w:t>区法院长期未结诉讼案件专项清理活动的通知》（</w:t>
      </w:r>
      <w:proofErr w:type="gramStart"/>
      <w:r>
        <w:rPr>
          <w:rFonts w:ascii="仿宋" w:eastAsia="仿宋" w:hAnsi="仿宋"/>
          <w:sz w:val="32"/>
          <w:szCs w:val="32"/>
        </w:rPr>
        <w:t>桂高法网</w:t>
      </w:r>
      <w:proofErr w:type="gramEnd"/>
      <w:r>
        <w:rPr>
          <w:rFonts w:ascii="仿宋" w:eastAsia="仿宋" w:hAnsi="仿宋"/>
          <w:sz w:val="32"/>
          <w:szCs w:val="32"/>
        </w:rPr>
        <w:t>传</w:t>
      </w:r>
      <w:r>
        <w:rPr>
          <w:rFonts w:ascii="仿宋" w:eastAsia="仿宋" w:hAnsi="仿宋" w:hint="eastAsia"/>
          <w:sz w:val="32"/>
          <w:szCs w:val="32"/>
        </w:rPr>
        <w:t>〔</w:t>
      </w:r>
      <w:r>
        <w:rPr>
          <w:rFonts w:ascii="仿宋" w:eastAsia="仿宋" w:hAnsi="仿宋"/>
          <w:sz w:val="32"/>
          <w:szCs w:val="32"/>
        </w:rPr>
        <w:t>2018</w:t>
      </w:r>
      <w:r>
        <w:rPr>
          <w:rFonts w:ascii="仿宋" w:eastAsia="仿宋" w:hAnsi="仿宋" w:hint="eastAsia"/>
          <w:sz w:val="32"/>
          <w:szCs w:val="32"/>
        </w:rPr>
        <w:t>〕</w:t>
      </w:r>
      <w:r>
        <w:rPr>
          <w:rFonts w:ascii="仿宋" w:eastAsia="仿宋" w:hAnsi="仿宋"/>
          <w:sz w:val="32"/>
          <w:szCs w:val="32"/>
        </w:rPr>
        <w:t>79</w:t>
      </w:r>
      <w:r>
        <w:rPr>
          <w:rFonts w:ascii="仿宋" w:eastAsia="仿宋" w:hAnsi="仿宋"/>
          <w:sz w:val="32"/>
          <w:szCs w:val="32"/>
        </w:rPr>
        <w:t>号</w:t>
      </w:r>
      <w:r>
        <w:rPr>
          <w:rFonts w:ascii="仿宋" w:eastAsia="仿宋" w:hAnsi="仿宋" w:hint="eastAsia"/>
          <w:sz w:val="32"/>
          <w:szCs w:val="32"/>
        </w:rPr>
        <w:t>），全区各级人民法院在</w:t>
      </w:r>
      <w:r>
        <w:rPr>
          <w:rFonts w:ascii="仿宋" w:eastAsia="仿宋" w:hAnsi="仿宋" w:hint="eastAsia"/>
          <w:sz w:val="32"/>
          <w:szCs w:val="32"/>
        </w:rPr>
        <w:t>2018</w:t>
      </w:r>
      <w:r>
        <w:rPr>
          <w:rFonts w:ascii="仿宋" w:eastAsia="仿宋" w:hAnsi="仿宋" w:hint="eastAsia"/>
          <w:sz w:val="32"/>
          <w:szCs w:val="32"/>
        </w:rPr>
        <w:t>年</w:t>
      </w:r>
      <w:r>
        <w:rPr>
          <w:rFonts w:ascii="仿宋" w:eastAsia="仿宋" w:hAnsi="仿宋" w:hint="eastAsia"/>
          <w:sz w:val="32"/>
          <w:szCs w:val="32"/>
        </w:rPr>
        <w:t>6</w:t>
      </w:r>
      <w:r>
        <w:rPr>
          <w:rFonts w:ascii="仿宋" w:eastAsia="仿宋" w:hAnsi="仿宋" w:hint="eastAsia"/>
          <w:sz w:val="32"/>
          <w:szCs w:val="32"/>
        </w:rPr>
        <w:t>月下旬至</w:t>
      </w:r>
      <w:r>
        <w:rPr>
          <w:rFonts w:ascii="仿宋" w:eastAsia="仿宋" w:hAnsi="仿宋" w:hint="eastAsia"/>
          <w:sz w:val="32"/>
          <w:szCs w:val="32"/>
        </w:rPr>
        <w:t>2018</w:t>
      </w:r>
      <w:r>
        <w:rPr>
          <w:rFonts w:ascii="仿宋" w:eastAsia="仿宋" w:hAnsi="仿宋" w:hint="eastAsia"/>
          <w:sz w:val="32"/>
          <w:szCs w:val="32"/>
        </w:rPr>
        <w:t>年</w:t>
      </w:r>
      <w:r>
        <w:rPr>
          <w:rFonts w:ascii="仿宋" w:eastAsia="仿宋" w:hAnsi="仿宋" w:hint="eastAsia"/>
          <w:sz w:val="32"/>
          <w:szCs w:val="32"/>
        </w:rPr>
        <w:t>9</w:t>
      </w:r>
      <w:r>
        <w:rPr>
          <w:rFonts w:ascii="仿宋" w:eastAsia="仿宋" w:hAnsi="仿宋" w:hint="eastAsia"/>
          <w:sz w:val="32"/>
          <w:szCs w:val="32"/>
        </w:rPr>
        <w:t>月</w:t>
      </w:r>
      <w:r>
        <w:rPr>
          <w:rFonts w:ascii="仿宋" w:eastAsia="仿宋" w:hAnsi="仿宋" w:hint="eastAsia"/>
          <w:sz w:val="32"/>
          <w:szCs w:val="32"/>
        </w:rPr>
        <w:t>30</w:t>
      </w:r>
      <w:r>
        <w:rPr>
          <w:rFonts w:ascii="仿宋" w:eastAsia="仿宋" w:hAnsi="仿宋" w:hint="eastAsia"/>
          <w:sz w:val="32"/>
          <w:szCs w:val="32"/>
        </w:rPr>
        <w:t>日开展为期</w:t>
      </w:r>
      <w:r>
        <w:rPr>
          <w:rFonts w:ascii="仿宋" w:eastAsia="仿宋" w:hAnsi="仿宋" w:hint="eastAsia"/>
          <w:sz w:val="32"/>
          <w:szCs w:val="32"/>
        </w:rPr>
        <w:t>100</w:t>
      </w:r>
      <w:r>
        <w:rPr>
          <w:rFonts w:ascii="仿宋" w:eastAsia="仿宋" w:hAnsi="仿宋" w:hint="eastAsia"/>
          <w:sz w:val="32"/>
          <w:szCs w:val="32"/>
        </w:rPr>
        <w:t>天的长期未结诉讼案件专项清理活动，要求全区法院建立长期未结诉讼案件有效防控机制，长期未结诉讼案件进入良性发展态势。据统计，在活动开展期间，全区法院共审结</w:t>
      </w:r>
      <w:r>
        <w:rPr>
          <w:rFonts w:ascii="仿宋" w:eastAsia="仿宋" w:hAnsi="仿宋" w:hint="eastAsia"/>
          <w:sz w:val="32"/>
          <w:szCs w:val="32"/>
        </w:rPr>
        <w:t>644</w:t>
      </w:r>
      <w:r>
        <w:rPr>
          <w:rFonts w:ascii="仿宋" w:eastAsia="仿宋" w:hAnsi="仿宋" w:hint="eastAsia"/>
          <w:sz w:val="32"/>
          <w:szCs w:val="32"/>
        </w:rPr>
        <w:t>件涉企业长期未结诉讼案件，占全部审结案件的</w:t>
      </w:r>
      <w:r>
        <w:rPr>
          <w:rFonts w:ascii="仿宋" w:eastAsia="仿宋" w:hAnsi="仿宋" w:hint="eastAsia"/>
          <w:sz w:val="32"/>
          <w:szCs w:val="32"/>
        </w:rPr>
        <w:t>46.73%</w:t>
      </w:r>
      <w:r>
        <w:rPr>
          <w:rFonts w:ascii="仿宋" w:eastAsia="仿宋" w:hAnsi="仿宋" w:hint="eastAsia"/>
          <w:sz w:val="32"/>
          <w:szCs w:val="32"/>
        </w:rPr>
        <w:t>。</w:t>
      </w:r>
    </w:p>
    <w:p w:rsidR="009923E7" w:rsidRDefault="009923E7"/>
    <w:sectPr w:rsidR="009923E7" w:rsidSect="009923E7">
      <w:footerReference w:type="default" r:id="rId7"/>
      <w:pgSz w:w="11906" w:h="16838"/>
      <w:pgMar w:top="2098" w:right="1474" w:bottom="1985" w:left="1588" w:header="851" w:footer="992" w:gutter="0"/>
      <w:cols w:space="425"/>
      <w:docGrid w:type="lines" w:linePitch="579" w:charSpace="216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3E7" w:rsidRDefault="009923E7" w:rsidP="009923E7">
      <w:r>
        <w:separator/>
      </w:r>
    </w:p>
  </w:endnote>
  <w:endnote w:type="continuationSeparator" w:id="1">
    <w:p w:rsidR="009923E7" w:rsidRDefault="009923E7" w:rsidP="009923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51854057"/>
    </w:sdtPr>
    <w:sdtContent>
      <w:p w:rsidR="009923E7" w:rsidRDefault="009923E7">
        <w:pPr>
          <w:pStyle w:val="a3"/>
          <w:jc w:val="center"/>
          <w:rPr>
            <w:rFonts w:asciiTheme="minorEastAsia" w:hAnsiTheme="minorEastAsia"/>
            <w:sz w:val="28"/>
            <w:szCs w:val="28"/>
          </w:rPr>
        </w:pPr>
        <w:r>
          <w:rPr>
            <w:rFonts w:asciiTheme="minorEastAsia" w:hAnsiTheme="minorEastAsia"/>
            <w:sz w:val="28"/>
            <w:szCs w:val="28"/>
          </w:rPr>
          <w:fldChar w:fldCharType="begin"/>
        </w:r>
        <w:r w:rsidR="005253AD">
          <w:rPr>
            <w:rFonts w:asciiTheme="minorEastAsia" w:hAnsiTheme="minorEastAsia"/>
            <w:sz w:val="28"/>
            <w:szCs w:val="28"/>
          </w:rPr>
          <w:instrText xml:space="preserve">PAGE   </w:instrText>
        </w:r>
        <w:r w:rsidR="005253AD">
          <w:rPr>
            <w:rFonts w:asciiTheme="minorEastAsia" w:hAnsiTheme="minorEastAsia"/>
            <w:sz w:val="28"/>
            <w:szCs w:val="28"/>
          </w:rPr>
          <w:instrText>\* MERGEFORMAT</w:instrText>
        </w:r>
        <w:r>
          <w:rPr>
            <w:rFonts w:asciiTheme="minorEastAsia" w:hAnsiTheme="minorEastAsia"/>
            <w:sz w:val="28"/>
            <w:szCs w:val="28"/>
          </w:rPr>
          <w:fldChar w:fldCharType="separate"/>
        </w:r>
        <w:r w:rsidR="005253AD" w:rsidRPr="005253AD">
          <w:rPr>
            <w:rFonts w:asciiTheme="minorEastAsia" w:hAnsiTheme="minorEastAsia"/>
            <w:noProof/>
            <w:sz w:val="28"/>
            <w:szCs w:val="28"/>
            <w:lang w:val="zh-CN"/>
          </w:rPr>
          <w:t>1</w:t>
        </w:r>
        <w:r>
          <w:rPr>
            <w:rFonts w:ascii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3E7" w:rsidRDefault="009923E7" w:rsidP="009923E7">
      <w:r>
        <w:separator/>
      </w:r>
    </w:p>
  </w:footnote>
  <w:footnote w:type="continuationSeparator" w:id="1">
    <w:p w:rsidR="009923E7" w:rsidRDefault="009923E7" w:rsidP="009923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201"/>
  <w:drawingGridVerticalSpacing w:val="45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746A"/>
    <w:rsid w:val="000142B5"/>
    <w:rsid w:val="0014579F"/>
    <w:rsid w:val="001C41FB"/>
    <w:rsid w:val="00260749"/>
    <w:rsid w:val="00304414"/>
    <w:rsid w:val="004418DA"/>
    <w:rsid w:val="005253AD"/>
    <w:rsid w:val="0054770C"/>
    <w:rsid w:val="005A347B"/>
    <w:rsid w:val="00726806"/>
    <w:rsid w:val="00756EDD"/>
    <w:rsid w:val="0098746A"/>
    <w:rsid w:val="009923E7"/>
    <w:rsid w:val="009F6701"/>
    <w:rsid w:val="00A46237"/>
    <w:rsid w:val="00A9617D"/>
    <w:rsid w:val="00B353E3"/>
    <w:rsid w:val="00C740A2"/>
    <w:rsid w:val="00D573D7"/>
    <w:rsid w:val="01D03377"/>
    <w:rsid w:val="5FD755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3E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923E7"/>
    <w:pPr>
      <w:tabs>
        <w:tab w:val="center" w:pos="4153"/>
        <w:tab w:val="right" w:pos="8306"/>
      </w:tabs>
      <w:snapToGrid w:val="0"/>
      <w:jc w:val="left"/>
    </w:pPr>
    <w:rPr>
      <w:sz w:val="18"/>
      <w:szCs w:val="18"/>
    </w:rPr>
  </w:style>
  <w:style w:type="paragraph" w:styleId="a4">
    <w:name w:val="header"/>
    <w:basedOn w:val="a"/>
    <w:link w:val="Char0"/>
    <w:uiPriority w:val="99"/>
    <w:unhideWhenUsed/>
    <w:rsid w:val="009923E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923E7"/>
    <w:rPr>
      <w:sz w:val="18"/>
      <w:szCs w:val="18"/>
    </w:rPr>
  </w:style>
  <w:style w:type="character" w:customStyle="1" w:styleId="Char">
    <w:name w:val="页脚 Char"/>
    <w:basedOn w:val="a0"/>
    <w:link w:val="a3"/>
    <w:uiPriority w:val="99"/>
    <w:rsid w:val="009923E7"/>
    <w:rPr>
      <w:sz w:val="18"/>
      <w:szCs w:val="18"/>
    </w:rPr>
  </w:style>
  <w:style w:type="paragraph" w:styleId="a5">
    <w:name w:val="Balloon Text"/>
    <w:basedOn w:val="a"/>
    <w:link w:val="Char1"/>
    <w:uiPriority w:val="99"/>
    <w:semiHidden/>
    <w:unhideWhenUsed/>
    <w:rsid w:val="005253AD"/>
    <w:rPr>
      <w:sz w:val="18"/>
      <w:szCs w:val="18"/>
    </w:rPr>
  </w:style>
  <w:style w:type="character" w:customStyle="1" w:styleId="Char1">
    <w:name w:val="批注框文本 Char"/>
    <w:basedOn w:val="a0"/>
    <w:link w:val="a5"/>
    <w:uiPriority w:val="99"/>
    <w:semiHidden/>
    <w:rsid w:val="005253A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518</Words>
  <Characters>2957</Characters>
  <Application>Microsoft Office Word</Application>
  <DocSecurity>0</DocSecurity>
  <Lines>24</Lines>
  <Paragraphs>6</Paragraphs>
  <ScaleCrop>false</ScaleCrop>
  <Company>微软中国</Company>
  <LinksUpToDate>false</LinksUpToDate>
  <CharactersWithSpaces>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刘杏</dc:creator>
  <cp:lastModifiedBy>刘杏</cp:lastModifiedBy>
  <cp:revision>2</cp:revision>
  <dcterms:created xsi:type="dcterms:W3CDTF">2018-12-05T09:03:00Z</dcterms:created>
  <dcterms:modified xsi:type="dcterms:W3CDTF">2018-12-05T09:03:00Z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