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21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709"/>
        <w:gridCol w:w="4605"/>
        <w:gridCol w:w="7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80" w:type="dxa"/>
            <w:gridSpan w:val="5"/>
            <w:noWrap w:val="0"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48"/>
                <w:szCs w:val="48"/>
              </w:rPr>
              <w:t>破产案件个案综合评价负面清单</w:t>
            </w:r>
          </w:p>
          <w:bookmarkEnd w:id="0"/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（       ）川    破      号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管理人：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承办人：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程序推进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应严格依法开展破产工作，能够完全按照法律规定的程序完成案件涉及的各项工作。若出现程序错误、节点超期等情形的，视案件办理具体情况在5分以内扣分。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接受监督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应自觉接受人民法院和债权人会议、债权人委员会的监督，对于案件重大工作事项及时报告、请示。未按规定办理的，视案件中的具体情况在5分以内扣分。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资产清理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资产调查工作应准确到位，形成材料扎实，能准确采取措施，妥善保管资产，处置方案建议合理可行。未做好资产清理工作的，视案件具体情况在10分以内扣分。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法律适用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对案涉法律关系应把握准确，能准确援引法律、参考判例对具体纠纷、问题作出正确处理。未正确适用法律的，视案件具体情况在5分以内扣分。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维护稳定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应积极维护利害关系人权益，能妥善应对群体性事件，化解社会矛盾，能正确行使诉讼权利，妥善处理重大、敏感的破产衍生诉讼案件。维稳工作不到位的，视案件具体情况在6分以内扣分。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职业道德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应遵守法律、执业纪律或职业道德，合理支出破产费用，合理收取相关费用，无利用管理人身份为自己和他人谋取非法利益的情形。有违反职业道德行为的，视案件具体情况在10分以内扣分。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80"/>
        <w:rPr>
          <w:rFonts w:ascii="仿宋" w:hAnsi="仿宋" w:eastAsia="仿宋"/>
          <w:sz w:val="24"/>
        </w:rPr>
      </w:pPr>
      <w:r>
        <w:rPr>
          <w:rFonts w:hint="eastAsia"/>
          <w:sz w:val="24"/>
        </w:rPr>
        <w:t>说明：此表总分20分，扣完为止。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51972"/>
    <w:rsid w:val="54451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2019-02-13T07:20:00Z</dcterms:created>
  <dc:creator>Jons CR</dc:creator>
  <cp:lastModifiedBy>Jons CR</cp:lastModifiedBy>
  <dcterms:modified xsi:type="dcterms:W3CDTF">2019-02-13T07:21:04Z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