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62" w:rsidRPr="00581F62" w:rsidRDefault="00581F62" w:rsidP="00581F62">
      <w:pPr>
        <w:jc w:val="center"/>
        <w:rPr>
          <w:rFonts w:ascii="黑体" w:eastAsia="黑体" w:hAnsi="黑体"/>
          <w:sz w:val="44"/>
          <w:szCs w:val="44"/>
        </w:rPr>
      </w:pPr>
      <w:r w:rsidRPr="00581F62">
        <w:rPr>
          <w:rFonts w:ascii="黑体" w:eastAsia="黑体" w:hAnsi="黑体" w:hint="eastAsia"/>
          <w:sz w:val="44"/>
          <w:szCs w:val="44"/>
        </w:rPr>
        <w:t>吉林省高级人民法院</w:t>
      </w:r>
    </w:p>
    <w:p w:rsidR="00581F62" w:rsidRPr="00581F62" w:rsidRDefault="00581F62" w:rsidP="00581F62">
      <w:pPr>
        <w:jc w:val="center"/>
        <w:rPr>
          <w:rFonts w:ascii="黑体" w:eastAsia="黑体" w:hAnsi="黑体"/>
          <w:sz w:val="44"/>
          <w:szCs w:val="44"/>
        </w:rPr>
      </w:pPr>
      <w:r w:rsidRPr="00581F62">
        <w:rPr>
          <w:rFonts w:ascii="黑体" w:eastAsia="黑体" w:hAnsi="黑体" w:hint="eastAsia"/>
          <w:sz w:val="44"/>
          <w:szCs w:val="44"/>
        </w:rPr>
        <w:t>关于指定长春铁路运输两级法院管辖</w:t>
      </w:r>
    </w:p>
    <w:p w:rsidR="00581F62" w:rsidRDefault="00581F62" w:rsidP="00581F62">
      <w:pPr>
        <w:jc w:val="center"/>
        <w:rPr>
          <w:rFonts w:ascii="黑体" w:eastAsia="黑体" w:hAnsi="黑体"/>
          <w:sz w:val="44"/>
          <w:szCs w:val="44"/>
        </w:rPr>
      </w:pPr>
      <w:r w:rsidRPr="00581F62">
        <w:rPr>
          <w:rFonts w:ascii="黑体" w:eastAsia="黑体" w:hAnsi="黑体" w:hint="eastAsia"/>
          <w:sz w:val="44"/>
          <w:szCs w:val="44"/>
        </w:rPr>
        <w:t>部分案件的规定</w:t>
      </w:r>
    </w:p>
    <w:p w:rsidR="00581F62" w:rsidRPr="00581F62" w:rsidRDefault="00581F62" w:rsidP="00581F62">
      <w:pPr>
        <w:jc w:val="center"/>
        <w:rPr>
          <w:rFonts w:ascii="黑体" w:eastAsia="黑体" w:hAnsi="黑体" w:hint="eastAsia"/>
          <w:sz w:val="44"/>
          <w:szCs w:val="44"/>
        </w:rPr>
      </w:pPr>
    </w:p>
    <w:p w:rsidR="00581F62" w:rsidRPr="00581F62" w:rsidRDefault="00581F62" w:rsidP="00581F62">
      <w:pPr>
        <w:ind w:firstLineChars="200" w:firstLine="640"/>
        <w:rPr>
          <w:rFonts w:ascii="黑体" w:eastAsia="黑体" w:hAnsi="黑体"/>
          <w:sz w:val="32"/>
          <w:szCs w:val="32"/>
        </w:rPr>
      </w:pPr>
      <w:r w:rsidRPr="00581F62">
        <w:rPr>
          <w:rFonts w:ascii="黑体" w:eastAsia="黑体" w:hAnsi="黑体" w:hint="eastAsia"/>
          <w:sz w:val="32"/>
          <w:szCs w:val="32"/>
        </w:rPr>
        <w:t>一、指定管辖案件范围</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一)长春铁路运输法院。集中管辖长春市各区(具体包括长春市朝阳区、宽城区、南关区、二道区、绿园区,长春经济技术开发区、长春高新技术产业开发区、长春汽车经济技术开发区、长春净月高新技术产业开发区,不含长春市双阳区、九台区)基层人民法院一审的交通运输合同纠纷民事诉讼案件、环境资源类民事诉讼案件，以长春市直各行政机关为被告的一审行政诉讼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二)吉林铁路运输法院。集中管辖吉林市各区(具体包括吉林市昌邑区、龙谭区、船营区、丰满区,吉林高新技术产业开发区)基层人民法院一审的交通运输合同纠纷民事诉讼案件、环境资源类民事诉讼案件，以吉林市直各行政机关为被告的一审行政诉讼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hint="eastAsia"/>
          <w:sz w:val="32"/>
          <w:szCs w:val="32"/>
        </w:rPr>
        <w:t>（三</w:t>
      </w:r>
      <w:r>
        <w:rPr>
          <w:rFonts w:ascii="仿宋" w:eastAsia="仿宋" w:hAnsi="仿宋"/>
          <w:sz w:val="32"/>
          <w:szCs w:val="32"/>
        </w:rPr>
        <w:t>）</w:t>
      </w:r>
      <w:r w:rsidRPr="00581F62">
        <w:rPr>
          <w:rFonts w:ascii="仿宋" w:eastAsia="仿宋" w:hAnsi="仿宋"/>
          <w:sz w:val="32"/>
          <w:szCs w:val="32"/>
        </w:rPr>
        <w:t>通化铁路运输法院。集中管辖通化市各区(具体包括通化市东昌区、二道江区)基层人民法院一审的交通运输合同纠纷</w:t>
      </w:r>
      <w:r w:rsidRPr="00581F62">
        <w:rPr>
          <w:rFonts w:ascii="仿宋" w:eastAsia="仿宋" w:hAnsi="仿宋" w:hint="eastAsia"/>
          <w:sz w:val="32"/>
          <w:szCs w:val="32"/>
        </w:rPr>
        <w:t>民事诉讼案件、环境资源类民事诉讼案件</w:t>
      </w:r>
      <w:r w:rsidRPr="00581F62">
        <w:rPr>
          <w:rFonts w:ascii="仿宋" w:eastAsia="仿宋" w:hAnsi="仿宋"/>
          <w:sz w:val="32"/>
          <w:szCs w:val="32"/>
        </w:rPr>
        <w:t>,以通化市直各行政机关为被告的一审行政诉讼案件。</w:t>
      </w:r>
    </w:p>
    <w:p w:rsidR="00581F62" w:rsidRDefault="00581F62" w:rsidP="00581F62">
      <w:pPr>
        <w:ind w:firstLineChars="200" w:firstLine="640"/>
        <w:rPr>
          <w:rFonts w:ascii="仿宋" w:eastAsia="仿宋" w:hAnsi="仿宋"/>
          <w:sz w:val="32"/>
          <w:szCs w:val="32"/>
        </w:rPr>
      </w:pPr>
      <w:r>
        <w:rPr>
          <w:rFonts w:ascii="仿宋" w:eastAsia="仿宋" w:hAnsi="仿宋" w:hint="eastAsia"/>
          <w:sz w:val="32"/>
          <w:szCs w:val="32"/>
        </w:rPr>
        <w:t>（</w:t>
      </w:r>
      <w:r w:rsidRPr="00581F62">
        <w:rPr>
          <w:rFonts w:ascii="仿宋" w:eastAsia="仿宋" w:hAnsi="仿宋"/>
          <w:sz w:val="32"/>
          <w:szCs w:val="32"/>
        </w:rPr>
        <w:t>四</w:t>
      </w:r>
      <w:r>
        <w:rPr>
          <w:rFonts w:ascii="仿宋" w:eastAsia="仿宋" w:hAnsi="仿宋" w:hint="eastAsia"/>
          <w:sz w:val="32"/>
          <w:szCs w:val="32"/>
        </w:rPr>
        <w:t>）</w:t>
      </w:r>
      <w:r w:rsidRPr="00581F62">
        <w:rPr>
          <w:rFonts w:ascii="仿宋" w:eastAsia="仿宋" w:hAnsi="仿宋"/>
          <w:sz w:val="32"/>
          <w:szCs w:val="32"/>
        </w:rPr>
        <w:t>白城铁路运输法院。集中管辖白城市洮北区基层</w:t>
      </w:r>
      <w:r w:rsidRPr="00581F62">
        <w:rPr>
          <w:rFonts w:ascii="仿宋" w:eastAsia="仿宋" w:hAnsi="仿宋"/>
          <w:sz w:val="32"/>
          <w:szCs w:val="32"/>
        </w:rPr>
        <w:lastRenderedPageBreak/>
        <w:t>人民法院一审的交通运输合同纠纷民事诉讼案件、环境资源类民事诉讼案件,以白城市直各行政机关为被告的一审行政诉讼案件。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（五)图们铁路运输法院。集中管辖延吉市基层人民法院一审的交通运输合同纠纷民事诉讼案件、环境资源类民事诉讼案件,以延边州直各行政机关为被告的一审行政诉讼案件。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(六)长春铁路运输中级法院。集中管辖下辖各基层法院一审案件的上诉和申请再审案件。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hint="eastAsia"/>
          <w:sz w:val="32"/>
          <w:szCs w:val="32"/>
        </w:rPr>
        <w:t>长春铁路运输两级法院审理的案件，相应生效裁判文书的执行</w:t>
      </w:r>
      <w:r w:rsidRPr="00581F62">
        <w:rPr>
          <w:rFonts w:ascii="仿宋" w:eastAsia="仿宋" w:hAnsi="仿宋"/>
          <w:sz w:val="32"/>
          <w:szCs w:val="32"/>
        </w:rPr>
        <w:t>,适用《中华人民共和国民事诉讼法》第二百二十四条和《中华人民共和国行政诉讼法》第九十五条、第九十六条的规定。</w:t>
      </w:r>
    </w:p>
    <w:p w:rsidR="00581F62" w:rsidRPr="00581F62" w:rsidRDefault="00581F62" w:rsidP="00581F62">
      <w:pPr>
        <w:ind w:firstLineChars="200" w:firstLine="640"/>
        <w:rPr>
          <w:rFonts w:ascii="黑体" w:eastAsia="黑体" w:hAnsi="黑体"/>
          <w:sz w:val="32"/>
          <w:szCs w:val="32"/>
        </w:rPr>
      </w:pPr>
      <w:r w:rsidRPr="00581F62">
        <w:rPr>
          <w:rFonts w:ascii="黑体" w:eastAsia="黑体" w:hAnsi="黑体" w:hint="eastAsia"/>
          <w:sz w:val="32"/>
          <w:szCs w:val="32"/>
        </w:rPr>
        <w:t>二、指定管辖案件类型</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(一)交通运输合同纠纷民事案件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1.公路旅客运输合同纠纷;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2.公路货物运输合同纠纷;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3.水路旅客运输合同纠纷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4.水路货物运输合同纠纷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5.航空旅客运输合同纠纷;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6.航空货物运输合同纠纷;</w:t>
      </w:r>
    </w:p>
    <w:p w:rsid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7.出租汽车运输合同纠纷;</w:t>
      </w:r>
      <w:r w:rsidRPr="00581F62">
        <w:rPr>
          <w:rFonts w:ascii="仿宋" w:eastAsia="仿宋" w:hAnsi="仿宋"/>
          <w:sz w:val="32"/>
          <w:szCs w:val="32"/>
        </w:rPr>
        <w:t xml:space="preserve"> </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lastRenderedPageBreak/>
        <w:t>8.管道运输合同纠纷;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9.城市公交运输合同纠纷;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10.联合运输合同纠纷;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11.多式联运合同纠纷。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(二)环境资源类民事案件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1.大气污染责任纠纷;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2.水污染责任纠纷;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3.噪声污染责任纠纷;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4.放射性污染责任纠纷;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5.土壤污染责任纠纷;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6.电子废物污染责任纠纷;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7.固体废物污染责任纠纷;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8.供用电合同纠纷;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9.供用水合同纠纷;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10.供用气合同纠纷;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11.供用热力合同纠纷。</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hint="eastAsia"/>
          <w:sz w:val="32"/>
          <w:szCs w:val="32"/>
        </w:rPr>
        <w:t>其他指定管辖的环资类民事案件案由待最高人民法院相关司法解释发布后</w:t>
      </w:r>
      <w:r w:rsidRPr="00581F62">
        <w:rPr>
          <w:rFonts w:ascii="仿宋" w:eastAsia="仿宋" w:hAnsi="仿宋"/>
          <w:sz w:val="32"/>
          <w:szCs w:val="32"/>
        </w:rPr>
        <w:t>,省高院审判委员会通知确定。</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(三)行政诉讼案件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1.市(州)直各行政机关具体指:单位名称为XX市(州)的行政机关及法律法规规章授权的组织。如市(州)人力资源和社会保障局、市(州)税务局、市(州)交警支队、市(州)不动</w:t>
      </w:r>
      <w:r w:rsidRPr="00581F62">
        <w:rPr>
          <w:rFonts w:ascii="仿宋" w:eastAsia="仿宋" w:hAnsi="仿宋"/>
          <w:sz w:val="32"/>
          <w:szCs w:val="32"/>
        </w:rPr>
        <w:lastRenderedPageBreak/>
        <w:t>产登记中</w:t>
      </w:r>
      <w:r w:rsidRPr="00581F62">
        <w:rPr>
          <w:rFonts w:ascii="仿宋" w:eastAsia="仿宋" w:hAnsi="仿宋" w:hint="eastAsia"/>
          <w:sz w:val="32"/>
          <w:szCs w:val="32"/>
        </w:rPr>
        <w:t>心等等。不包括市</w:t>
      </w:r>
      <w:r w:rsidRPr="00581F62">
        <w:rPr>
          <w:rFonts w:ascii="仿宋" w:eastAsia="仿宋" w:hAnsi="仿宋"/>
          <w:sz w:val="32"/>
          <w:szCs w:val="32"/>
        </w:rPr>
        <w:t>(州)人民政府、市辖区(县级市)人民政府、单位名称为XX市XX区(县级市)的行政机关及法律法规规章授权组织。</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2.以市(州)直各行政机关为被告的行政诉讼案件既包括直接以市(州)直机关为被告的案件,也包括市(州)直机关作为复议机关一并作被告的案件。</w:t>
      </w:r>
    </w:p>
    <w:p w:rsidR="00581F62" w:rsidRPr="00581F62" w:rsidRDefault="00581F62" w:rsidP="00581F62">
      <w:pPr>
        <w:ind w:firstLineChars="200" w:firstLine="640"/>
        <w:rPr>
          <w:rFonts w:ascii="黑体" w:eastAsia="黑体" w:hAnsi="黑体"/>
          <w:sz w:val="32"/>
          <w:szCs w:val="32"/>
        </w:rPr>
      </w:pPr>
      <w:r w:rsidRPr="00581F62">
        <w:rPr>
          <w:rFonts w:ascii="黑体" w:eastAsia="黑体" w:hAnsi="黑体" w:hint="eastAsia"/>
          <w:sz w:val="32"/>
          <w:szCs w:val="32"/>
        </w:rPr>
        <w:t>三、其他有关事项</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(一)本规定实施后,地方各基层人民法院不再受理、审理上述指定管辖案件。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(二)本规定实施前,针对指定管辖案件地方各基层人民法院已经立案的,仍由已立案法院继续审理;当事人对一审案件不服,仍向地方各中级人民法院上诉、申请再审。</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(三)长春铁路运输两级法院原案件管辖范围不变。</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(四)指定管辖的行政案件不包括非诉行政执行案件</w:t>
      </w:r>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sz w:val="32"/>
          <w:szCs w:val="32"/>
        </w:rPr>
        <w:t>(五)本规定由吉林省高级人民法院审判委员会负责解释。</w:t>
      </w:r>
      <w:bookmarkStart w:id="0" w:name="_GoBack"/>
      <w:bookmarkEnd w:id="0"/>
    </w:p>
    <w:p w:rsidR="00581F62" w:rsidRPr="00581F62" w:rsidRDefault="00581F62" w:rsidP="00581F62">
      <w:pPr>
        <w:ind w:firstLineChars="200" w:firstLine="640"/>
        <w:rPr>
          <w:rFonts w:ascii="仿宋" w:eastAsia="仿宋" w:hAnsi="仿宋"/>
          <w:sz w:val="32"/>
          <w:szCs w:val="32"/>
        </w:rPr>
      </w:pPr>
      <w:r w:rsidRPr="00581F62">
        <w:rPr>
          <w:rFonts w:ascii="仿宋" w:eastAsia="仿宋" w:hAnsi="仿宋" w:hint="eastAsia"/>
          <w:sz w:val="32"/>
          <w:szCs w:val="32"/>
        </w:rPr>
        <w:t>本规定自</w:t>
      </w:r>
      <w:r w:rsidRPr="00581F62">
        <w:rPr>
          <w:rFonts w:ascii="仿宋" w:eastAsia="仿宋" w:hAnsi="仿宋"/>
          <w:sz w:val="32"/>
          <w:szCs w:val="32"/>
        </w:rPr>
        <w:t>2019年4月1日起实施。</w:t>
      </w:r>
    </w:p>
    <w:p w:rsidR="00581F62" w:rsidRPr="00581F62" w:rsidRDefault="00581F62" w:rsidP="00581F62">
      <w:pPr>
        <w:rPr>
          <w:rFonts w:ascii="仿宋" w:eastAsia="仿宋" w:hAnsi="仿宋"/>
          <w:sz w:val="32"/>
          <w:szCs w:val="32"/>
        </w:rPr>
      </w:pPr>
    </w:p>
    <w:p w:rsidR="00581F62" w:rsidRDefault="00581F62" w:rsidP="00581F62">
      <w:pPr>
        <w:rPr>
          <w:rFonts w:ascii="仿宋" w:eastAsia="仿宋" w:hAnsi="仿宋"/>
          <w:sz w:val="32"/>
          <w:szCs w:val="32"/>
        </w:rPr>
      </w:pPr>
    </w:p>
    <w:p w:rsidR="00581F62" w:rsidRDefault="00581F62" w:rsidP="00581F62">
      <w:pPr>
        <w:rPr>
          <w:rFonts w:ascii="仿宋" w:eastAsia="仿宋" w:hAnsi="仿宋"/>
          <w:sz w:val="32"/>
          <w:szCs w:val="32"/>
        </w:rPr>
      </w:pPr>
    </w:p>
    <w:p w:rsidR="00581F62" w:rsidRPr="00581F62" w:rsidRDefault="00581F62" w:rsidP="00581F62">
      <w:pPr>
        <w:rPr>
          <w:rFonts w:ascii="仿宋" w:eastAsia="仿宋" w:hAnsi="仿宋"/>
          <w:sz w:val="32"/>
          <w:szCs w:val="32"/>
        </w:rPr>
      </w:pPr>
    </w:p>
    <w:p w:rsidR="00581F62" w:rsidRPr="00581F62" w:rsidRDefault="00581F62" w:rsidP="00581F62">
      <w:pPr>
        <w:rPr>
          <w:rFonts w:ascii="仿宋" w:eastAsia="仿宋" w:hAnsi="仿宋"/>
          <w:sz w:val="32"/>
          <w:szCs w:val="32"/>
        </w:rPr>
      </w:pPr>
    </w:p>
    <w:sectPr w:rsidR="00581F62" w:rsidRPr="00581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20"/>
    <w:rsid w:val="00163F1F"/>
    <w:rsid w:val="00303AD8"/>
    <w:rsid w:val="00581F62"/>
    <w:rsid w:val="007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8EB0"/>
  <w15:chartTrackingRefBased/>
  <w15:docId w15:val="{82B0A91D-DC99-472B-B509-9FF9C9DB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2019-03-20T02:06:00Z</dcterms:created>
  <dcterms:modified xsi:type="dcterms:W3CDTF">2019-03-20T02:07:00Z</dcterms:modified>
</cp:coreProperties>
</file>