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5639" w:rsidRDefault="00881AEA" w:rsidP="004D453B">
      <w:pPr>
        <w:jc w:val="center"/>
        <w:rPr>
          <w:rFonts w:hint="eastAsia"/>
          <w:noProof/>
        </w:rPr>
      </w:pPr>
      <w:r w:rsidRPr="00881AEA">
        <w:rPr>
          <w:rFonts w:hint="eastAsia"/>
          <w:b/>
        </w:rPr>
        <w:t>2016</w:t>
      </w:r>
      <w:r w:rsidRPr="00881AEA">
        <w:rPr>
          <w:rFonts w:hint="eastAsia"/>
          <w:b/>
        </w:rPr>
        <w:t>年度光泽县人民法院部门决算说明</w:t>
      </w:r>
    </w:p>
    <w:p w:rsidR="00881AEA" w:rsidRDefault="00881AEA" w:rsidP="004D453B">
      <w:pPr>
        <w:jc w:val="center"/>
        <w:rPr>
          <w:rFonts w:hint="eastAsia"/>
          <w:noProof/>
        </w:rPr>
      </w:pP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cs="Arial" w:hint="eastAsia"/>
          <w:color w:val="000000"/>
          <w:sz w:val="20"/>
          <w:szCs w:val="20"/>
        </w:rPr>
        <w:t>按照《光泽县财政局关于批复光泽县人民法院</w:t>
      </w:r>
      <w:r>
        <w:rPr>
          <w:rFonts w:ascii="Arial" w:hAnsi="Arial" w:cs="Arial"/>
          <w:color w:val="000000"/>
          <w:sz w:val="20"/>
          <w:szCs w:val="20"/>
        </w:rPr>
        <w:t>2016</w:t>
      </w:r>
      <w:r>
        <w:rPr>
          <w:rFonts w:cs="Arial" w:hint="eastAsia"/>
          <w:color w:val="000000"/>
          <w:sz w:val="20"/>
          <w:szCs w:val="20"/>
        </w:rPr>
        <w:t>年度部门决算的通知》（光财决〔</w:t>
      </w:r>
      <w:r>
        <w:rPr>
          <w:rFonts w:ascii="Arial" w:hAnsi="Arial" w:cs="Arial"/>
          <w:color w:val="000000"/>
          <w:sz w:val="20"/>
          <w:szCs w:val="20"/>
        </w:rPr>
        <w:t>2017</w:t>
      </w:r>
      <w:r>
        <w:rPr>
          <w:rFonts w:cs="Arial" w:hint="eastAsia"/>
          <w:color w:val="000000"/>
          <w:sz w:val="20"/>
          <w:szCs w:val="20"/>
        </w:rPr>
        <w:t>〕</w:t>
      </w:r>
      <w:r>
        <w:rPr>
          <w:rFonts w:ascii="Arial" w:hAnsi="Arial" w:cs="Arial"/>
          <w:color w:val="000000"/>
          <w:sz w:val="20"/>
          <w:szCs w:val="20"/>
        </w:rPr>
        <w:t>1 </w:t>
      </w:r>
      <w:r>
        <w:rPr>
          <w:rFonts w:cs="Arial" w:hint="eastAsia"/>
          <w:color w:val="000000"/>
          <w:sz w:val="20"/>
          <w:szCs w:val="20"/>
        </w:rPr>
        <w:t>号）及《福建省财政厅关于印发福建省预决算公开操作规程的通知》</w:t>
      </w:r>
      <w:r>
        <w:rPr>
          <w:rFonts w:ascii="Arial" w:hAnsi="Arial" w:cs="Arial"/>
          <w:color w:val="000000"/>
          <w:sz w:val="20"/>
          <w:szCs w:val="20"/>
        </w:rPr>
        <w:t>(</w:t>
      </w:r>
      <w:r>
        <w:rPr>
          <w:rFonts w:cs="Arial" w:hint="eastAsia"/>
          <w:color w:val="000000"/>
          <w:sz w:val="20"/>
          <w:szCs w:val="20"/>
        </w:rPr>
        <w:t>闽财预〔</w:t>
      </w:r>
      <w:r>
        <w:rPr>
          <w:rFonts w:ascii="Arial" w:hAnsi="Arial" w:cs="Arial"/>
          <w:color w:val="000000"/>
          <w:sz w:val="20"/>
          <w:szCs w:val="20"/>
        </w:rPr>
        <w:t>2017</w:t>
      </w:r>
      <w:r>
        <w:rPr>
          <w:rFonts w:cs="Arial" w:hint="eastAsia"/>
          <w:color w:val="000000"/>
          <w:sz w:val="20"/>
          <w:szCs w:val="20"/>
        </w:rPr>
        <w:t>〕</w:t>
      </w:r>
      <w:r>
        <w:rPr>
          <w:rFonts w:ascii="Arial" w:hAnsi="Arial" w:cs="Arial"/>
          <w:color w:val="000000"/>
          <w:sz w:val="20"/>
          <w:szCs w:val="20"/>
        </w:rPr>
        <w:t>38</w:t>
      </w:r>
      <w:r>
        <w:rPr>
          <w:rFonts w:cs="Arial" w:hint="eastAsia"/>
          <w:color w:val="000000"/>
          <w:sz w:val="20"/>
          <w:szCs w:val="20"/>
        </w:rPr>
        <w:t>号</w:t>
      </w:r>
      <w:r>
        <w:rPr>
          <w:rFonts w:ascii="Arial" w:hAnsi="Arial" w:cs="Arial"/>
          <w:color w:val="000000"/>
          <w:sz w:val="20"/>
          <w:szCs w:val="20"/>
        </w:rPr>
        <w:t>)</w:t>
      </w:r>
      <w:r>
        <w:rPr>
          <w:rFonts w:cs="Arial" w:hint="eastAsia"/>
          <w:color w:val="000000"/>
          <w:sz w:val="20"/>
          <w:szCs w:val="20"/>
        </w:rPr>
        <w:t>的要求，现将我单位</w:t>
      </w:r>
      <w:r>
        <w:rPr>
          <w:rFonts w:ascii="Arial" w:hAnsi="Arial" w:cs="Arial"/>
          <w:color w:val="000000"/>
          <w:sz w:val="20"/>
          <w:szCs w:val="20"/>
        </w:rPr>
        <w:t>2016</w:t>
      </w:r>
      <w:r>
        <w:rPr>
          <w:rFonts w:cs="Arial" w:hint="eastAsia"/>
          <w:color w:val="000000"/>
          <w:sz w:val="20"/>
          <w:szCs w:val="20"/>
        </w:rPr>
        <w:t>年度部门决算说明如下</w:t>
      </w:r>
      <w:r>
        <w:rPr>
          <w:rFonts w:ascii="Arial" w:hAnsi="Arial" w:cs="Arial"/>
          <w:color w:val="000000"/>
          <w:sz w:val="20"/>
          <w:szCs w:val="20"/>
        </w:rPr>
        <w:t>:</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Style w:val="a3"/>
          <w:rFonts w:cs="Arial" w:hint="eastAsia"/>
          <w:color w:val="000000"/>
          <w:sz w:val="20"/>
          <w:szCs w:val="20"/>
        </w:rPr>
        <w:t>一、部门主要职责</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cs="Arial" w:hint="eastAsia"/>
          <w:color w:val="000000"/>
          <w:sz w:val="20"/>
          <w:szCs w:val="20"/>
        </w:rPr>
        <w:t>根据《中共光泽县委办公室关于印发光泽县人民法院职能配置、内设机构和人员编制规定的通知》（光委办发〔</w:t>
      </w:r>
      <w:r>
        <w:rPr>
          <w:rFonts w:ascii="Arial" w:hAnsi="Arial" w:cs="Arial"/>
          <w:color w:val="000000"/>
          <w:sz w:val="20"/>
          <w:szCs w:val="20"/>
        </w:rPr>
        <w:t>2003</w:t>
      </w:r>
      <w:r>
        <w:rPr>
          <w:rFonts w:cs="Arial" w:hint="eastAsia"/>
          <w:color w:val="000000"/>
          <w:sz w:val="20"/>
          <w:szCs w:val="20"/>
        </w:rPr>
        <w:t>〕</w:t>
      </w:r>
      <w:r>
        <w:rPr>
          <w:rFonts w:ascii="Arial" w:hAnsi="Arial" w:cs="Arial"/>
          <w:color w:val="000000"/>
          <w:sz w:val="20"/>
          <w:szCs w:val="20"/>
        </w:rPr>
        <w:t>6</w:t>
      </w:r>
      <w:r>
        <w:rPr>
          <w:rFonts w:cs="Arial" w:hint="eastAsia"/>
          <w:color w:val="000000"/>
          <w:sz w:val="20"/>
          <w:szCs w:val="20"/>
        </w:rPr>
        <w:t>号），我单位的主要职责是：</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cs="Arial" w:hint="eastAsia"/>
          <w:color w:val="000000"/>
          <w:sz w:val="20"/>
          <w:szCs w:val="20"/>
        </w:rPr>
        <w:t>（一）审判法律规定由基层人民法院管辖和上级法院指定管辖的刑事、民商事、行政案件。</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cs="Arial" w:hint="eastAsia"/>
          <w:color w:val="000000"/>
          <w:sz w:val="20"/>
          <w:szCs w:val="20"/>
        </w:rPr>
        <w:t>（二）受理不服本院判决、裁定的各类申诉和申请再审案件，对其中确有错误的已发生法律效力的判决、裁定进行再审。</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cs="Arial" w:hint="eastAsia"/>
          <w:color w:val="000000"/>
          <w:sz w:val="20"/>
          <w:szCs w:val="20"/>
        </w:rPr>
        <w:t>（三）审判由光泽县人民检察院按照审判监督程序提出抗诉的案件。</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cs="Arial" w:hint="eastAsia"/>
          <w:color w:val="000000"/>
          <w:sz w:val="20"/>
          <w:szCs w:val="20"/>
        </w:rPr>
        <w:t>（四）依法行使司法执行权和司法决定权。对本院已发生法律效力的判决和裁定以及非诉行政案件，依法行使司法执行权，维护法律的严肃性，保护当事人的合法权益；针对案件审理中发现的问题提出司法建议，参与社会治安综合治理。</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cs="Arial" w:hint="eastAsia"/>
          <w:color w:val="000000"/>
          <w:sz w:val="20"/>
          <w:szCs w:val="20"/>
        </w:rPr>
        <w:t>（五）抓好全院队伍的思想政治、教育培训工作；按照权限管理法官、执行员、书记员、司法警察和司法行政人员；协同主管部门管理人民法院的机构设置、人员编制工作。</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cs="Arial" w:hint="eastAsia"/>
          <w:color w:val="000000"/>
          <w:sz w:val="20"/>
          <w:szCs w:val="20"/>
        </w:rPr>
        <w:t>（六）领导人民法院的监察工作，依照《法官法》规定，抓好队伍建设，组织业务培训，处理法院干部队伍中违法违纪问题。</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cs="Arial" w:hint="eastAsia"/>
          <w:color w:val="000000"/>
          <w:sz w:val="20"/>
          <w:szCs w:val="20"/>
        </w:rPr>
        <w:t>（七）管理人民法院的有关经费和物资装备及档案、保密工作，对审判工作开展调查研究，进行总结，适用法律、政策的请示，收集审判信息资料，进行司法统计。</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cs="Arial" w:hint="eastAsia"/>
          <w:color w:val="000000"/>
          <w:sz w:val="20"/>
          <w:szCs w:val="20"/>
        </w:rPr>
        <w:t>（八）在业务中宣传法制，教育公民忠于社会主义祖国，自觉地遵守宪法、法律和社会公德。</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Style w:val="a3"/>
          <w:rFonts w:cs="Arial" w:hint="eastAsia"/>
          <w:color w:val="000000"/>
          <w:sz w:val="20"/>
          <w:szCs w:val="20"/>
        </w:rPr>
        <w:t>二、部门预算单位基本情况</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cs="Arial" w:hint="eastAsia"/>
          <w:color w:val="000000"/>
          <w:sz w:val="20"/>
          <w:szCs w:val="20"/>
        </w:rPr>
        <w:t>光泽县人民法院包括</w:t>
      </w:r>
      <w:r>
        <w:rPr>
          <w:rFonts w:ascii="Arial" w:hAnsi="Arial" w:cs="Arial"/>
          <w:color w:val="000000"/>
          <w:sz w:val="20"/>
          <w:szCs w:val="20"/>
        </w:rPr>
        <w:t>13</w:t>
      </w:r>
      <w:r>
        <w:rPr>
          <w:rFonts w:cs="Arial" w:hint="eastAsia"/>
          <w:color w:val="000000"/>
          <w:sz w:val="20"/>
          <w:szCs w:val="20"/>
        </w:rPr>
        <w:t>个机关行政股室及</w:t>
      </w:r>
      <w:r>
        <w:rPr>
          <w:rFonts w:ascii="Arial" w:hAnsi="Arial" w:cs="Arial"/>
          <w:color w:val="000000"/>
          <w:sz w:val="20"/>
          <w:szCs w:val="20"/>
        </w:rPr>
        <w:t>0</w:t>
      </w:r>
      <w:r>
        <w:rPr>
          <w:rFonts w:cs="Arial" w:hint="eastAsia"/>
          <w:color w:val="000000"/>
          <w:sz w:val="20"/>
          <w:szCs w:val="20"/>
        </w:rPr>
        <w:t>个下属单位，其中：列入</w:t>
      </w:r>
      <w:r>
        <w:rPr>
          <w:rFonts w:ascii="Arial" w:hAnsi="Arial" w:cs="Arial"/>
          <w:color w:val="000000"/>
          <w:sz w:val="20"/>
          <w:szCs w:val="20"/>
        </w:rPr>
        <w:t>2016</w:t>
      </w:r>
      <w:r>
        <w:rPr>
          <w:rFonts w:cs="Arial" w:hint="eastAsia"/>
          <w:color w:val="000000"/>
          <w:sz w:val="20"/>
          <w:szCs w:val="20"/>
        </w:rPr>
        <w:t>年部门决算编制范围的单位详细情况见下表</w:t>
      </w:r>
      <w:r>
        <w:rPr>
          <w:rFonts w:ascii="Arial" w:hAnsi="Arial" w:cs="Arial"/>
          <w:color w:val="000000"/>
          <w:sz w:val="20"/>
          <w:szCs w:val="20"/>
        </w:rPr>
        <w:t>:</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ascii="Arial" w:hAnsi="Arial" w:cs="Arial"/>
          <w:noProof/>
          <w:color w:val="000000"/>
          <w:sz w:val="20"/>
          <w:szCs w:val="20"/>
        </w:rPr>
        <w:drawing>
          <wp:inline distT="0" distB="0" distL="0" distR="0">
            <wp:extent cx="4762500" cy="742950"/>
            <wp:effectExtent l="19050" t="0" r="0" b="0"/>
            <wp:docPr id="16" name="图片 4" descr="2016年度光泽县人民法院部门决算说明">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年度光泽县人民法院部门决算说明">
                      <a:hlinkClick r:id="rId5"/>
                    </pic:cNvPr>
                    <pic:cNvPicPr>
                      <a:picLocks noChangeAspect="1" noChangeArrowheads="1"/>
                    </pic:cNvPicPr>
                  </pic:nvPicPr>
                  <pic:blipFill>
                    <a:blip r:embed="rId6" cstate="print"/>
                    <a:srcRect/>
                    <a:stretch>
                      <a:fillRect/>
                    </a:stretch>
                  </pic:blipFill>
                  <pic:spPr bwMode="auto">
                    <a:xfrm>
                      <a:off x="0" y="0"/>
                      <a:ext cx="4762500" cy="742950"/>
                    </a:xfrm>
                    <a:prstGeom prst="rect">
                      <a:avLst/>
                    </a:prstGeom>
                    <a:noFill/>
                    <a:ln w="9525">
                      <a:noFill/>
                      <a:miter lim="800000"/>
                      <a:headEnd/>
                      <a:tailEnd/>
                    </a:ln>
                  </pic:spPr>
                </pic:pic>
              </a:graphicData>
            </a:graphic>
          </wp:inline>
        </w:drawing>
      </w:r>
      <w:r>
        <w:rPr>
          <w:rFonts w:ascii="Arial" w:hAnsi="Arial" w:cs="Arial"/>
          <w:color w:val="000000"/>
          <w:sz w:val="20"/>
          <w:szCs w:val="20"/>
        </w:rPr>
        <w:t> </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Style w:val="a3"/>
          <w:rFonts w:cs="Arial" w:hint="eastAsia"/>
          <w:color w:val="000000"/>
          <w:sz w:val="20"/>
          <w:szCs w:val="20"/>
        </w:rPr>
        <w:t>三、部门主要工作总结</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ascii="Arial" w:hAnsi="Arial" w:cs="Arial"/>
          <w:color w:val="000000"/>
          <w:sz w:val="20"/>
          <w:szCs w:val="20"/>
        </w:rPr>
        <w:t>2016</w:t>
      </w:r>
      <w:r>
        <w:rPr>
          <w:rFonts w:cs="Arial" w:hint="eastAsia"/>
          <w:color w:val="000000"/>
          <w:sz w:val="20"/>
          <w:szCs w:val="20"/>
        </w:rPr>
        <w:t>年，光泽县人民法院主要任务是：履行好光委办发〔</w:t>
      </w:r>
      <w:r>
        <w:rPr>
          <w:rFonts w:ascii="Arial" w:hAnsi="Arial" w:cs="Arial"/>
          <w:color w:val="000000"/>
          <w:sz w:val="20"/>
          <w:szCs w:val="20"/>
        </w:rPr>
        <w:t>2003</w:t>
      </w:r>
      <w:r>
        <w:rPr>
          <w:rFonts w:cs="Arial" w:hint="eastAsia"/>
          <w:color w:val="000000"/>
          <w:sz w:val="20"/>
          <w:szCs w:val="20"/>
        </w:rPr>
        <w:t>〕</w:t>
      </w:r>
      <w:r>
        <w:rPr>
          <w:rFonts w:ascii="Arial" w:hAnsi="Arial" w:cs="Arial"/>
          <w:color w:val="000000"/>
          <w:sz w:val="20"/>
          <w:szCs w:val="20"/>
        </w:rPr>
        <w:t>6</w:t>
      </w:r>
      <w:r>
        <w:rPr>
          <w:rFonts w:cs="Arial" w:hint="eastAsia"/>
          <w:color w:val="000000"/>
          <w:sz w:val="20"/>
          <w:szCs w:val="20"/>
        </w:rPr>
        <w:t>号文件规定的各项职能。围绕上述任务，重点完成了以下工作：</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cs="Arial" w:hint="eastAsia"/>
          <w:color w:val="000000"/>
          <w:sz w:val="20"/>
          <w:szCs w:val="20"/>
        </w:rPr>
        <w:t>（一）全面服务发展大局。围绕县委、县政府的中心工作，维护社会稳定，促进经济发展，为我县城市建设和项目建设提供坚实的司法保障。</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cs="Arial" w:hint="eastAsia"/>
          <w:color w:val="000000"/>
          <w:sz w:val="20"/>
          <w:szCs w:val="20"/>
        </w:rPr>
        <w:t>（二）认真抓好审判主业。严格按照罪刑法定、疑罪从无、非法证据排除等法律原则和制度审理案件，坚持公正司法。坚持以审判为中心，强化审判管理，进一步提升审判质效。进一步推进执行指挥中心建设，严格实施信用惩戒，努力提高执行效率和效果。</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cs="Arial" w:hint="eastAsia"/>
          <w:color w:val="000000"/>
          <w:sz w:val="20"/>
          <w:szCs w:val="20"/>
        </w:rPr>
        <w:t>（三）扎实推进司法改革。按照上级的统一部署，积极稳妥推进司法改革，落实各项改革措施，尽快推行人员分类管理、司法责任制、法官职业保障、省以下人财物统一管理等改革。</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cs="Arial" w:hint="eastAsia"/>
          <w:color w:val="000000"/>
          <w:sz w:val="20"/>
          <w:szCs w:val="20"/>
        </w:rPr>
        <w:t>（四）持续抓好队伍建设。坚持思想政治建设，以党建带队建，努力建设正规化、专业化、职业化的法官队伍。巩固和拓展党的群众路线教育成果，坚持不懈开展纪律作风建设，提审队伍整体形象，努力争创文化建设示范法院、全省优秀法院和省级文明单位。</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Style w:val="a3"/>
          <w:rFonts w:cs="Arial" w:hint="eastAsia"/>
          <w:color w:val="000000"/>
          <w:sz w:val="20"/>
          <w:szCs w:val="20"/>
        </w:rPr>
        <w:t>四、</w:t>
      </w:r>
      <w:r>
        <w:rPr>
          <w:rStyle w:val="a3"/>
          <w:rFonts w:ascii="Arial" w:hAnsi="Arial" w:cs="Arial"/>
          <w:color w:val="000000"/>
          <w:sz w:val="20"/>
          <w:szCs w:val="20"/>
        </w:rPr>
        <w:t>2016</w:t>
      </w:r>
      <w:r>
        <w:rPr>
          <w:rStyle w:val="a3"/>
          <w:rFonts w:cs="Arial" w:hint="eastAsia"/>
          <w:color w:val="000000"/>
          <w:sz w:val="20"/>
          <w:szCs w:val="20"/>
        </w:rPr>
        <w:t>年决算收支总体情况</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ascii="Arial" w:hAnsi="Arial" w:cs="Arial"/>
          <w:color w:val="000000"/>
          <w:sz w:val="20"/>
          <w:szCs w:val="20"/>
        </w:rPr>
        <w:lastRenderedPageBreak/>
        <w:t>2016</w:t>
      </w:r>
      <w:r>
        <w:rPr>
          <w:rFonts w:cs="Arial" w:hint="eastAsia"/>
          <w:color w:val="000000"/>
          <w:sz w:val="20"/>
          <w:szCs w:val="20"/>
        </w:rPr>
        <w:t>年光泽县人民法院年初结转和结余</w:t>
      </w:r>
      <w:r>
        <w:rPr>
          <w:rFonts w:ascii="Arial" w:hAnsi="Arial" w:cs="Arial"/>
          <w:color w:val="000000"/>
          <w:sz w:val="20"/>
          <w:szCs w:val="20"/>
        </w:rPr>
        <w:t>559.13</w:t>
      </w:r>
      <w:r>
        <w:rPr>
          <w:rFonts w:cs="Arial" w:hint="eastAsia"/>
          <w:color w:val="000000"/>
          <w:sz w:val="20"/>
          <w:szCs w:val="20"/>
        </w:rPr>
        <w:t>万元，本年收入</w:t>
      </w:r>
      <w:r>
        <w:rPr>
          <w:rFonts w:ascii="Arial" w:hAnsi="Arial" w:cs="Arial"/>
          <w:color w:val="000000"/>
          <w:sz w:val="20"/>
          <w:szCs w:val="20"/>
        </w:rPr>
        <w:t>2455.88</w:t>
      </w:r>
      <w:r>
        <w:rPr>
          <w:rFonts w:cs="Arial" w:hint="eastAsia"/>
          <w:color w:val="000000"/>
          <w:sz w:val="20"/>
          <w:szCs w:val="20"/>
        </w:rPr>
        <w:t>万元，本年支出</w:t>
      </w:r>
      <w:r>
        <w:rPr>
          <w:rFonts w:ascii="Arial" w:hAnsi="Arial" w:cs="Arial"/>
          <w:color w:val="000000"/>
          <w:sz w:val="20"/>
          <w:szCs w:val="20"/>
        </w:rPr>
        <w:t>2385.09</w:t>
      </w:r>
      <w:r>
        <w:rPr>
          <w:rFonts w:cs="Arial" w:hint="eastAsia"/>
          <w:color w:val="000000"/>
          <w:sz w:val="20"/>
          <w:szCs w:val="20"/>
        </w:rPr>
        <w:t>万元，事业基金弥补收支差额</w:t>
      </w:r>
      <w:r>
        <w:rPr>
          <w:rFonts w:ascii="Arial" w:hAnsi="Arial" w:cs="Arial"/>
          <w:color w:val="000000"/>
          <w:sz w:val="20"/>
          <w:szCs w:val="20"/>
        </w:rPr>
        <w:t>0</w:t>
      </w:r>
      <w:r>
        <w:rPr>
          <w:rFonts w:cs="Arial" w:hint="eastAsia"/>
          <w:color w:val="000000"/>
          <w:sz w:val="20"/>
          <w:szCs w:val="20"/>
        </w:rPr>
        <w:t>万元，结余分配</w:t>
      </w:r>
      <w:r>
        <w:rPr>
          <w:rFonts w:ascii="Arial" w:hAnsi="Arial" w:cs="Arial"/>
          <w:color w:val="000000"/>
          <w:sz w:val="20"/>
          <w:szCs w:val="20"/>
        </w:rPr>
        <w:t>0</w:t>
      </w:r>
      <w:r>
        <w:rPr>
          <w:rFonts w:cs="Arial" w:hint="eastAsia"/>
          <w:color w:val="000000"/>
          <w:sz w:val="20"/>
          <w:szCs w:val="20"/>
        </w:rPr>
        <w:t>万元，年末结转和结余</w:t>
      </w:r>
      <w:r>
        <w:rPr>
          <w:rFonts w:ascii="Arial" w:hAnsi="Arial" w:cs="Arial"/>
          <w:color w:val="000000"/>
          <w:sz w:val="20"/>
          <w:szCs w:val="20"/>
        </w:rPr>
        <w:t>629.92</w:t>
      </w:r>
      <w:r>
        <w:rPr>
          <w:rFonts w:cs="Arial" w:hint="eastAsia"/>
          <w:color w:val="000000"/>
          <w:sz w:val="20"/>
          <w:szCs w:val="20"/>
        </w:rPr>
        <w:t>万元。</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cs="Arial" w:hint="eastAsia"/>
          <w:color w:val="000000"/>
          <w:sz w:val="20"/>
          <w:szCs w:val="20"/>
        </w:rPr>
        <w:t>（一）</w:t>
      </w:r>
      <w:r>
        <w:rPr>
          <w:rFonts w:ascii="Arial" w:hAnsi="Arial" w:cs="Arial"/>
          <w:color w:val="000000"/>
          <w:sz w:val="20"/>
          <w:szCs w:val="20"/>
        </w:rPr>
        <w:t>2016</w:t>
      </w:r>
      <w:r>
        <w:rPr>
          <w:rFonts w:cs="Arial" w:hint="eastAsia"/>
          <w:color w:val="000000"/>
          <w:sz w:val="20"/>
          <w:szCs w:val="20"/>
        </w:rPr>
        <w:t>本年收入</w:t>
      </w:r>
      <w:r>
        <w:rPr>
          <w:rFonts w:ascii="Arial" w:hAnsi="Arial" w:cs="Arial"/>
          <w:color w:val="000000"/>
          <w:sz w:val="20"/>
          <w:szCs w:val="20"/>
        </w:rPr>
        <w:t>2455.88</w:t>
      </w:r>
      <w:r>
        <w:rPr>
          <w:rFonts w:cs="Arial" w:hint="eastAsia"/>
          <w:color w:val="000000"/>
          <w:sz w:val="20"/>
          <w:szCs w:val="20"/>
        </w:rPr>
        <w:t>万元，比</w:t>
      </w:r>
      <w:r>
        <w:rPr>
          <w:rFonts w:ascii="Arial" w:hAnsi="Arial" w:cs="Arial"/>
          <w:color w:val="000000"/>
          <w:sz w:val="20"/>
          <w:szCs w:val="20"/>
        </w:rPr>
        <w:t>2015</w:t>
      </w:r>
      <w:r>
        <w:rPr>
          <w:rFonts w:cs="Arial" w:hint="eastAsia"/>
          <w:color w:val="000000"/>
          <w:sz w:val="20"/>
          <w:szCs w:val="20"/>
        </w:rPr>
        <w:t>年决算数增加</w:t>
      </w:r>
      <w:r>
        <w:rPr>
          <w:rFonts w:ascii="Arial" w:hAnsi="Arial" w:cs="Arial"/>
          <w:color w:val="000000"/>
          <w:sz w:val="20"/>
          <w:szCs w:val="20"/>
        </w:rPr>
        <w:t>   485.9</w:t>
      </w:r>
      <w:r>
        <w:rPr>
          <w:rFonts w:cs="Arial" w:hint="eastAsia"/>
          <w:color w:val="000000"/>
          <w:sz w:val="20"/>
          <w:szCs w:val="20"/>
        </w:rPr>
        <w:t>万元，增长</w:t>
      </w:r>
      <w:r>
        <w:rPr>
          <w:rFonts w:ascii="Arial" w:hAnsi="Arial" w:cs="Arial"/>
          <w:color w:val="000000"/>
          <w:sz w:val="20"/>
          <w:szCs w:val="20"/>
        </w:rPr>
        <w:t>24.67</w:t>
      </w:r>
      <w:r>
        <w:rPr>
          <w:rFonts w:cs="Arial" w:hint="eastAsia"/>
          <w:color w:val="000000"/>
          <w:sz w:val="20"/>
          <w:szCs w:val="20"/>
        </w:rPr>
        <w:t>％，具体情况如下：</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ascii="Arial" w:hAnsi="Arial" w:cs="Arial"/>
          <w:color w:val="000000"/>
          <w:sz w:val="20"/>
          <w:szCs w:val="20"/>
        </w:rPr>
        <w:t>1. </w:t>
      </w:r>
      <w:r>
        <w:rPr>
          <w:rFonts w:cs="Arial" w:hint="eastAsia"/>
          <w:color w:val="000000"/>
          <w:sz w:val="20"/>
          <w:szCs w:val="20"/>
        </w:rPr>
        <w:t>财政拨款收入</w:t>
      </w:r>
      <w:r>
        <w:rPr>
          <w:rFonts w:ascii="Arial" w:hAnsi="Arial" w:cs="Arial"/>
          <w:color w:val="000000"/>
          <w:sz w:val="20"/>
          <w:szCs w:val="20"/>
        </w:rPr>
        <w:t>2,118.79</w:t>
      </w:r>
      <w:r>
        <w:rPr>
          <w:rFonts w:cs="Arial" w:hint="eastAsia"/>
          <w:color w:val="000000"/>
          <w:sz w:val="20"/>
          <w:szCs w:val="20"/>
        </w:rPr>
        <w:t>万元，其中政府性基金</w:t>
      </w:r>
      <w:r>
        <w:rPr>
          <w:rFonts w:ascii="Arial" w:hAnsi="Arial" w:cs="Arial"/>
          <w:color w:val="000000"/>
          <w:sz w:val="20"/>
          <w:szCs w:val="20"/>
        </w:rPr>
        <w:t>0</w:t>
      </w:r>
      <w:r>
        <w:rPr>
          <w:rFonts w:cs="Arial" w:hint="eastAsia"/>
          <w:color w:val="000000"/>
          <w:sz w:val="20"/>
          <w:szCs w:val="20"/>
        </w:rPr>
        <w:t>万元。</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ascii="Arial" w:hAnsi="Arial" w:cs="Arial"/>
          <w:color w:val="000000"/>
          <w:sz w:val="20"/>
          <w:szCs w:val="20"/>
        </w:rPr>
        <w:t>2. </w:t>
      </w:r>
      <w:r>
        <w:rPr>
          <w:rFonts w:cs="Arial" w:hint="eastAsia"/>
          <w:color w:val="000000"/>
          <w:sz w:val="20"/>
          <w:szCs w:val="20"/>
        </w:rPr>
        <w:t>事业收入</w:t>
      </w:r>
      <w:r>
        <w:rPr>
          <w:rFonts w:ascii="Arial" w:hAnsi="Arial" w:cs="Arial"/>
          <w:color w:val="000000"/>
          <w:sz w:val="20"/>
          <w:szCs w:val="20"/>
        </w:rPr>
        <w:t>0</w:t>
      </w:r>
      <w:r>
        <w:rPr>
          <w:rFonts w:cs="Arial" w:hint="eastAsia"/>
          <w:color w:val="000000"/>
          <w:sz w:val="20"/>
          <w:szCs w:val="20"/>
        </w:rPr>
        <w:t>万元。</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ascii="Arial" w:hAnsi="Arial" w:cs="Arial"/>
          <w:color w:val="000000"/>
          <w:sz w:val="20"/>
          <w:szCs w:val="20"/>
        </w:rPr>
        <w:t>3. </w:t>
      </w:r>
      <w:r>
        <w:rPr>
          <w:rFonts w:cs="Arial" w:hint="eastAsia"/>
          <w:color w:val="000000"/>
          <w:sz w:val="20"/>
          <w:szCs w:val="20"/>
        </w:rPr>
        <w:t>经营收入</w:t>
      </w:r>
      <w:r>
        <w:rPr>
          <w:rFonts w:ascii="Arial" w:hAnsi="Arial" w:cs="Arial"/>
          <w:color w:val="000000"/>
          <w:sz w:val="20"/>
          <w:szCs w:val="20"/>
        </w:rPr>
        <w:t>0</w:t>
      </w:r>
      <w:r>
        <w:rPr>
          <w:rFonts w:cs="Arial" w:hint="eastAsia"/>
          <w:color w:val="000000"/>
          <w:sz w:val="20"/>
          <w:szCs w:val="20"/>
        </w:rPr>
        <w:t>万元。</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ascii="Arial" w:hAnsi="Arial" w:cs="Arial"/>
          <w:color w:val="000000"/>
          <w:sz w:val="20"/>
          <w:szCs w:val="20"/>
        </w:rPr>
        <w:t>4. </w:t>
      </w:r>
      <w:r>
        <w:rPr>
          <w:rFonts w:cs="Arial" w:hint="eastAsia"/>
          <w:color w:val="000000"/>
          <w:sz w:val="20"/>
          <w:szCs w:val="20"/>
        </w:rPr>
        <w:t>上级补助收入</w:t>
      </w:r>
      <w:r>
        <w:rPr>
          <w:rFonts w:ascii="Arial" w:hAnsi="Arial" w:cs="Arial"/>
          <w:color w:val="000000"/>
          <w:sz w:val="20"/>
          <w:szCs w:val="20"/>
        </w:rPr>
        <w:t>0</w:t>
      </w:r>
      <w:r>
        <w:rPr>
          <w:rFonts w:cs="Arial" w:hint="eastAsia"/>
          <w:color w:val="000000"/>
          <w:sz w:val="20"/>
          <w:szCs w:val="20"/>
        </w:rPr>
        <w:t>万元。</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ascii="Arial" w:hAnsi="Arial" w:cs="Arial"/>
          <w:color w:val="000000"/>
          <w:sz w:val="20"/>
          <w:szCs w:val="20"/>
        </w:rPr>
        <w:t>5. </w:t>
      </w:r>
      <w:r>
        <w:rPr>
          <w:rFonts w:cs="Arial" w:hint="eastAsia"/>
          <w:color w:val="000000"/>
          <w:sz w:val="20"/>
          <w:szCs w:val="20"/>
        </w:rPr>
        <w:t>附属单位上缴收入</w:t>
      </w:r>
      <w:r>
        <w:rPr>
          <w:rFonts w:ascii="Arial" w:hAnsi="Arial" w:cs="Arial"/>
          <w:color w:val="000000"/>
          <w:sz w:val="20"/>
          <w:szCs w:val="20"/>
        </w:rPr>
        <w:t>0</w:t>
      </w:r>
      <w:r>
        <w:rPr>
          <w:rFonts w:cs="Arial" w:hint="eastAsia"/>
          <w:color w:val="000000"/>
          <w:sz w:val="20"/>
          <w:szCs w:val="20"/>
        </w:rPr>
        <w:t>万元。</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ascii="Arial" w:hAnsi="Arial" w:cs="Arial"/>
          <w:color w:val="000000"/>
          <w:sz w:val="20"/>
          <w:szCs w:val="20"/>
        </w:rPr>
        <w:t>6. </w:t>
      </w:r>
      <w:r>
        <w:rPr>
          <w:rFonts w:cs="Arial" w:hint="eastAsia"/>
          <w:color w:val="000000"/>
          <w:sz w:val="20"/>
          <w:szCs w:val="20"/>
        </w:rPr>
        <w:t>其他收入</w:t>
      </w:r>
      <w:r>
        <w:rPr>
          <w:rFonts w:ascii="Arial" w:hAnsi="Arial" w:cs="Arial"/>
          <w:color w:val="000000"/>
          <w:sz w:val="20"/>
          <w:szCs w:val="20"/>
        </w:rPr>
        <w:t>337.09</w:t>
      </w:r>
      <w:r>
        <w:rPr>
          <w:rFonts w:cs="Arial" w:hint="eastAsia"/>
          <w:color w:val="000000"/>
          <w:sz w:val="20"/>
          <w:szCs w:val="20"/>
        </w:rPr>
        <w:t>万元。</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cs="Arial" w:hint="eastAsia"/>
          <w:color w:val="000000"/>
          <w:sz w:val="20"/>
          <w:szCs w:val="20"/>
        </w:rPr>
        <w:t>（二）</w:t>
      </w:r>
      <w:r>
        <w:rPr>
          <w:rFonts w:ascii="Arial" w:hAnsi="Arial" w:cs="Arial"/>
          <w:color w:val="000000"/>
          <w:sz w:val="20"/>
          <w:szCs w:val="20"/>
        </w:rPr>
        <w:t>2016</w:t>
      </w:r>
      <w:r>
        <w:rPr>
          <w:rFonts w:cs="Arial" w:hint="eastAsia"/>
          <w:color w:val="000000"/>
          <w:sz w:val="20"/>
          <w:szCs w:val="20"/>
        </w:rPr>
        <w:t>本年支出</w:t>
      </w:r>
      <w:r>
        <w:rPr>
          <w:rFonts w:ascii="Arial" w:hAnsi="Arial" w:cs="Arial"/>
          <w:color w:val="000000"/>
          <w:sz w:val="20"/>
          <w:szCs w:val="20"/>
        </w:rPr>
        <w:t>2,385.09</w:t>
      </w:r>
      <w:r>
        <w:rPr>
          <w:rFonts w:cs="Arial" w:hint="eastAsia"/>
          <w:color w:val="000000"/>
          <w:sz w:val="20"/>
          <w:szCs w:val="20"/>
        </w:rPr>
        <w:t>万元，比</w:t>
      </w:r>
      <w:r>
        <w:rPr>
          <w:rFonts w:ascii="Arial" w:hAnsi="Arial" w:cs="Arial"/>
          <w:color w:val="000000"/>
          <w:sz w:val="20"/>
          <w:szCs w:val="20"/>
        </w:rPr>
        <w:t>2015</w:t>
      </w:r>
      <w:r>
        <w:rPr>
          <w:rFonts w:cs="Arial" w:hint="eastAsia"/>
          <w:color w:val="000000"/>
          <w:sz w:val="20"/>
          <w:szCs w:val="20"/>
        </w:rPr>
        <w:t>年决算数增加</w:t>
      </w:r>
      <w:r>
        <w:rPr>
          <w:rFonts w:ascii="Arial" w:hAnsi="Arial" w:cs="Arial"/>
          <w:color w:val="000000"/>
          <w:sz w:val="20"/>
          <w:szCs w:val="20"/>
        </w:rPr>
        <w:t>  475.75</w:t>
      </w:r>
      <w:r>
        <w:rPr>
          <w:rFonts w:cs="Arial" w:hint="eastAsia"/>
          <w:color w:val="000000"/>
          <w:sz w:val="20"/>
          <w:szCs w:val="20"/>
        </w:rPr>
        <w:t>万元，增长</w:t>
      </w:r>
      <w:r>
        <w:rPr>
          <w:rFonts w:ascii="Arial" w:hAnsi="Arial" w:cs="Arial"/>
          <w:color w:val="000000"/>
          <w:sz w:val="20"/>
          <w:szCs w:val="20"/>
        </w:rPr>
        <w:t>24.92</w:t>
      </w:r>
      <w:r>
        <w:rPr>
          <w:rFonts w:cs="Arial" w:hint="eastAsia"/>
          <w:color w:val="000000"/>
          <w:sz w:val="20"/>
          <w:szCs w:val="20"/>
        </w:rPr>
        <w:t>％，具体情况如下：</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ascii="Arial" w:hAnsi="Arial" w:cs="Arial"/>
          <w:color w:val="000000"/>
          <w:sz w:val="20"/>
          <w:szCs w:val="20"/>
        </w:rPr>
        <w:t>1. </w:t>
      </w:r>
      <w:r>
        <w:rPr>
          <w:rFonts w:cs="Arial" w:hint="eastAsia"/>
          <w:color w:val="000000"/>
          <w:sz w:val="20"/>
          <w:szCs w:val="20"/>
        </w:rPr>
        <w:t>基本支出</w:t>
      </w:r>
      <w:r>
        <w:rPr>
          <w:rFonts w:ascii="Arial" w:hAnsi="Arial" w:cs="Arial"/>
          <w:color w:val="000000"/>
          <w:sz w:val="20"/>
          <w:szCs w:val="20"/>
        </w:rPr>
        <w:t>1258.89</w:t>
      </w:r>
      <w:r>
        <w:rPr>
          <w:rFonts w:cs="Arial" w:hint="eastAsia"/>
          <w:color w:val="000000"/>
          <w:sz w:val="20"/>
          <w:szCs w:val="20"/>
        </w:rPr>
        <w:t>万元。其中，人员支出</w:t>
      </w:r>
      <w:r>
        <w:rPr>
          <w:rFonts w:ascii="Arial" w:hAnsi="Arial" w:cs="Arial"/>
          <w:color w:val="000000"/>
          <w:sz w:val="20"/>
          <w:szCs w:val="20"/>
        </w:rPr>
        <w:t>690.37</w:t>
      </w:r>
      <w:r>
        <w:rPr>
          <w:rFonts w:cs="Arial" w:hint="eastAsia"/>
          <w:color w:val="000000"/>
          <w:sz w:val="20"/>
          <w:szCs w:val="20"/>
        </w:rPr>
        <w:t>万元，公用支出</w:t>
      </w:r>
      <w:r>
        <w:rPr>
          <w:rFonts w:ascii="Arial" w:hAnsi="Arial" w:cs="Arial"/>
          <w:color w:val="000000"/>
          <w:sz w:val="20"/>
          <w:szCs w:val="20"/>
        </w:rPr>
        <w:t>568.52</w:t>
      </w:r>
      <w:r>
        <w:rPr>
          <w:rFonts w:cs="Arial" w:hint="eastAsia"/>
          <w:color w:val="000000"/>
          <w:sz w:val="20"/>
          <w:szCs w:val="20"/>
        </w:rPr>
        <w:t>万元。</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ascii="Arial" w:hAnsi="Arial" w:cs="Arial"/>
          <w:color w:val="000000"/>
          <w:sz w:val="20"/>
          <w:szCs w:val="20"/>
        </w:rPr>
        <w:t>2. </w:t>
      </w:r>
      <w:r>
        <w:rPr>
          <w:rFonts w:cs="Arial" w:hint="eastAsia"/>
          <w:color w:val="000000"/>
          <w:sz w:val="20"/>
          <w:szCs w:val="20"/>
        </w:rPr>
        <w:t>项目支出</w:t>
      </w:r>
      <w:r>
        <w:rPr>
          <w:rFonts w:ascii="Arial" w:hAnsi="Arial" w:cs="Arial"/>
          <w:color w:val="000000"/>
          <w:sz w:val="20"/>
          <w:szCs w:val="20"/>
        </w:rPr>
        <w:t>1126.19</w:t>
      </w:r>
      <w:r>
        <w:rPr>
          <w:rFonts w:cs="Arial" w:hint="eastAsia"/>
          <w:color w:val="000000"/>
          <w:sz w:val="20"/>
          <w:szCs w:val="20"/>
        </w:rPr>
        <w:t>万元。</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ascii="Arial" w:hAnsi="Arial" w:cs="Arial"/>
          <w:color w:val="000000"/>
          <w:sz w:val="20"/>
          <w:szCs w:val="20"/>
        </w:rPr>
        <w:t>3. </w:t>
      </w:r>
      <w:r>
        <w:rPr>
          <w:rFonts w:cs="Arial" w:hint="eastAsia"/>
          <w:color w:val="000000"/>
          <w:sz w:val="20"/>
          <w:szCs w:val="20"/>
        </w:rPr>
        <w:t>上缴上级支出</w:t>
      </w:r>
      <w:r>
        <w:rPr>
          <w:rFonts w:ascii="Arial" w:hAnsi="Arial" w:cs="Arial"/>
          <w:color w:val="000000"/>
          <w:sz w:val="20"/>
          <w:szCs w:val="20"/>
        </w:rPr>
        <w:t>0</w:t>
      </w:r>
      <w:r>
        <w:rPr>
          <w:rFonts w:cs="Arial" w:hint="eastAsia"/>
          <w:color w:val="000000"/>
          <w:sz w:val="20"/>
          <w:szCs w:val="20"/>
        </w:rPr>
        <w:t>万元。</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ascii="Arial" w:hAnsi="Arial" w:cs="Arial"/>
          <w:color w:val="000000"/>
          <w:sz w:val="20"/>
          <w:szCs w:val="20"/>
        </w:rPr>
        <w:t>4. </w:t>
      </w:r>
      <w:r>
        <w:rPr>
          <w:rFonts w:cs="Arial" w:hint="eastAsia"/>
          <w:color w:val="000000"/>
          <w:sz w:val="20"/>
          <w:szCs w:val="20"/>
        </w:rPr>
        <w:t>经营支出</w:t>
      </w:r>
      <w:r>
        <w:rPr>
          <w:rFonts w:ascii="Arial" w:hAnsi="Arial" w:cs="Arial"/>
          <w:color w:val="000000"/>
          <w:sz w:val="20"/>
          <w:szCs w:val="20"/>
        </w:rPr>
        <w:t>0</w:t>
      </w:r>
      <w:r>
        <w:rPr>
          <w:rFonts w:cs="Arial" w:hint="eastAsia"/>
          <w:color w:val="000000"/>
          <w:sz w:val="20"/>
          <w:szCs w:val="20"/>
        </w:rPr>
        <w:t>万元。</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ascii="Arial" w:hAnsi="Arial" w:cs="Arial"/>
          <w:color w:val="000000"/>
          <w:sz w:val="20"/>
          <w:szCs w:val="20"/>
        </w:rPr>
        <w:t>5. </w:t>
      </w:r>
      <w:r>
        <w:rPr>
          <w:rFonts w:cs="Arial" w:hint="eastAsia"/>
          <w:color w:val="000000"/>
          <w:sz w:val="20"/>
          <w:szCs w:val="20"/>
        </w:rPr>
        <w:t>对附属单位补助支出</w:t>
      </w:r>
      <w:r>
        <w:rPr>
          <w:rFonts w:ascii="Arial" w:hAnsi="Arial" w:cs="Arial"/>
          <w:color w:val="000000"/>
          <w:sz w:val="20"/>
          <w:szCs w:val="20"/>
        </w:rPr>
        <w:t>0</w:t>
      </w:r>
      <w:r>
        <w:rPr>
          <w:rFonts w:cs="Arial" w:hint="eastAsia"/>
          <w:color w:val="000000"/>
          <w:sz w:val="20"/>
          <w:szCs w:val="20"/>
        </w:rPr>
        <w:t>万元。</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Style w:val="a3"/>
          <w:rFonts w:cs="Arial" w:hint="eastAsia"/>
          <w:color w:val="000000"/>
          <w:sz w:val="20"/>
          <w:szCs w:val="20"/>
        </w:rPr>
        <w:t>五、公共财政拨款支出决算情况</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ascii="Arial" w:hAnsi="Arial" w:cs="Arial"/>
          <w:color w:val="000000"/>
          <w:sz w:val="20"/>
          <w:szCs w:val="20"/>
        </w:rPr>
        <w:t>2016</w:t>
      </w:r>
      <w:r>
        <w:rPr>
          <w:rFonts w:cs="Arial" w:hint="eastAsia"/>
          <w:color w:val="000000"/>
          <w:sz w:val="20"/>
          <w:szCs w:val="20"/>
        </w:rPr>
        <w:t>年公共财政拨款支出</w:t>
      </w:r>
      <w:r>
        <w:rPr>
          <w:rFonts w:ascii="Arial" w:hAnsi="Arial" w:cs="Arial"/>
          <w:color w:val="000000"/>
          <w:sz w:val="20"/>
          <w:szCs w:val="20"/>
        </w:rPr>
        <w:t>1,928.52</w:t>
      </w:r>
      <w:r>
        <w:rPr>
          <w:rFonts w:cs="Arial" w:hint="eastAsia"/>
          <w:color w:val="000000"/>
          <w:sz w:val="20"/>
          <w:szCs w:val="20"/>
        </w:rPr>
        <w:t>万元，比</w:t>
      </w:r>
      <w:r>
        <w:rPr>
          <w:rFonts w:ascii="Arial" w:hAnsi="Arial" w:cs="Arial"/>
          <w:color w:val="000000"/>
          <w:sz w:val="20"/>
          <w:szCs w:val="20"/>
        </w:rPr>
        <w:t>2015</w:t>
      </w:r>
      <w:r>
        <w:rPr>
          <w:rFonts w:cs="Arial" w:hint="eastAsia"/>
          <w:color w:val="000000"/>
          <w:sz w:val="20"/>
          <w:szCs w:val="20"/>
        </w:rPr>
        <w:t>年决算数增加</w:t>
      </w:r>
      <w:r>
        <w:rPr>
          <w:rFonts w:ascii="Arial" w:hAnsi="Arial" w:cs="Arial"/>
          <w:color w:val="000000"/>
          <w:sz w:val="20"/>
          <w:szCs w:val="20"/>
        </w:rPr>
        <w:t>862.87</w:t>
      </w:r>
      <w:r>
        <w:rPr>
          <w:rFonts w:cs="Arial" w:hint="eastAsia"/>
          <w:color w:val="000000"/>
          <w:sz w:val="20"/>
          <w:szCs w:val="20"/>
        </w:rPr>
        <w:t>万元，增长</w:t>
      </w:r>
      <w:r>
        <w:rPr>
          <w:rFonts w:ascii="Arial" w:hAnsi="Arial" w:cs="Arial"/>
          <w:color w:val="000000"/>
          <w:sz w:val="20"/>
          <w:szCs w:val="20"/>
        </w:rPr>
        <w:t>80.97%</w:t>
      </w:r>
      <w:r>
        <w:rPr>
          <w:rFonts w:cs="Arial" w:hint="eastAsia"/>
          <w:color w:val="000000"/>
          <w:sz w:val="20"/>
          <w:szCs w:val="20"/>
        </w:rPr>
        <w:t>，具体情况如下</w:t>
      </w:r>
      <w:r>
        <w:rPr>
          <w:rFonts w:ascii="Arial" w:hAnsi="Arial" w:cs="Arial"/>
          <w:color w:val="000000"/>
          <w:sz w:val="20"/>
          <w:szCs w:val="20"/>
        </w:rPr>
        <w:t>(</w:t>
      </w:r>
      <w:r>
        <w:rPr>
          <w:rFonts w:cs="Arial" w:hint="eastAsia"/>
          <w:color w:val="000000"/>
          <w:sz w:val="20"/>
          <w:szCs w:val="20"/>
        </w:rPr>
        <w:t>按项级科目统计</w:t>
      </w:r>
      <w:r>
        <w:rPr>
          <w:rFonts w:ascii="Arial" w:hAnsi="Arial" w:cs="Arial"/>
          <w:color w:val="000000"/>
          <w:sz w:val="20"/>
          <w:szCs w:val="20"/>
        </w:rPr>
        <w:t>)</w:t>
      </w:r>
      <w:r>
        <w:rPr>
          <w:rFonts w:cs="Arial" w:hint="eastAsia"/>
          <w:color w:val="000000"/>
          <w:sz w:val="20"/>
          <w:szCs w:val="20"/>
        </w:rPr>
        <w:t>：</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cs="Arial" w:hint="eastAsia"/>
          <w:color w:val="000000"/>
          <w:sz w:val="20"/>
          <w:szCs w:val="20"/>
        </w:rPr>
        <w:t>（一）</w:t>
      </w:r>
      <w:r>
        <w:rPr>
          <w:rFonts w:ascii="Arial" w:hAnsi="Arial" w:cs="Arial"/>
          <w:color w:val="000000"/>
          <w:sz w:val="20"/>
          <w:szCs w:val="20"/>
        </w:rPr>
        <w:t>2010499</w:t>
      </w:r>
      <w:r>
        <w:rPr>
          <w:rFonts w:cs="Arial" w:hint="eastAsia"/>
          <w:color w:val="000000"/>
          <w:sz w:val="20"/>
          <w:szCs w:val="20"/>
        </w:rPr>
        <w:t>（项级科目）</w:t>
      </w:r>
      <w:r>
        <w:rPr>
          <w:rFonts w:ascii="Arial" w:hAnsi="Arial" w:cs="Arial"/>
          <w:color w:val="000000"/>
          <w:sz w:val="20"/>
          <w:szCs w:val="20"/>
        </w:rPr>
        <w:t>302.5</w:t>
      </w:r>
      <w:r>
        <w:rPr>
          <w:rFonts w:cs="Arial" w:hint="eastAsia"/>
          <w:color w:val="000000"/>
          <w:sz w:val="20"/>
          <w:szCs w:val="20"/>
        </w:rPr>
        <w:t>万元，较</w:t>
      </w:r>
      <w:r>
        <w:rPr>
          <w:rFonts w:ascii="Arial" w:hAnsi="Arial" w:cs="Arial"/>
          <w:color w:val="000000"/>
          <w:sz w:val="20"/>
          <w:szCs w:val="20"/>
        </w:rPr>
        <w:t>2015</w:t>
      </w:r>
      <w:r>
        <w:rPr>
          <w:rFonts w:cs="Arial" w:hint="eastAsia"/>
          <w:color w:val="000000"/>
          <w:sz w:val="20"/>
          <w:szCs w:val="20"/>
        </w:rPr>
        <w:t>年决算数增加</w:t>
      </w:r>
      <w:r>
        <w:rPr>
          <w:rFonts w:ascii="Arial" w:hAnsi="Arial" w:cs="Arial"/>
          <w:color w:val="000000"/>
          <w:sz w:val="20"/>
          <w:szCs w:val="20"/>
        </w:rPr>
        <w:t>302.5</w:t>
      </w:r>
      <w:r>
        <w:rPr>
          <w:rFonts w:cs="Arial" w:hint="eastAsia"/>
          <w:color w:val="000000"/>
          <w:sz w:val="20"/>
          <w:szCs w:val="20"/>
        </w:rPr>
        <w:t>万元，增长</w:t>
      </w:r>
      <w:r>
        <w:rPr>
          <w:rFonts w:ascii="Arial" w:hAnsi="Arial" w:cs="Arial"/>
          <w:color w:val="000000"/>
          <w:sz w:val="20"/>
          <w:szCs w:val="20"/>
        </w:rPr>
        <w:t>100%</w:t>
      </w:r>
      <w:r>
        <w:rPr>
          <w:rFonts w:cs="Arial" w:hint="eastAsia"/>
          <w:color w:val="000000"/>
          <w:sz w:val="20"/>
          <w:szCs w:val="20"/>
        </w:rPr>
        <w:t>。主要原因是光泽县人民法院审判法庭基建省级配套资金下达用于基建支出。</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cs="Arial" w:hint="eastAsia"/>
          <w:color w:val="000000"/>
          <w:sz w:val="20"/>
          <w:szCs w:val="20"/>
        </w:rPr>
        <w:t>（二）</w:t>
      </w:r>
      <w:r>
        <w:rPr>
          <w:rFonts w:ascii="Arial" w:hAnsi="Arial" w:cs="Arial"/>
          <w:color w:val="000000"/>
          <w:sz w:val="20"/>
          <w:szCs w:val="20"/>
        </w:rPr>
        <w:t>2040501</w:t>
      </w:r>
      <w:r>
        <w:rPr>
          <w:rFonts w:cs="Arial" w:hint="eastAsia"/>
          <w:color w:val="000000"/>
          <w:sz w:val="20"/>
          <w:szCs w:val="20"/>
        </w:rPr>
        <w:t>（项级科目）</w:t>
      </w:r>
      <w:r>
        <w:rPr>
          <w:rFonts w:ascii="Arial" w:hAnsi="Arial" w:cs="Arial"/>
          <w:color w:val="000000"/>
          <w:sz w:val="20"/>
          <w:szCs w:val="20"/>
        </w:rPr>
        <w:t>664.14</w:t>
      </w:r>
      <w:r>
        <w:rPr>
          <w:rFonts w:cs="Arial" w:hint="eastAsia"/>
          <w:color w:val="000000"/>
          <w:sz w:val="20"/>
          <w:szCs w:val="20"/>
        </w:rPr>
        <w:t>万元，较</w:t>
      </w:r>
      <w:r>
        <w:rPr>
          <w:rFonts w:ascii="Arial" w:hAnsi="Arial" w:cs="Arial"/>
          <w:color w:val="000000"/>
          <w:sz w:val="20"/>
          <w:szCs w:val="20"/>
        </w:rPr>
        <w:t>2015</w:t>
      </w:r>
      <w:r>
        <w:rPr>
          <w:rFonts w:cs="Arial" w:hint="eastAsia"/>
          <w:color w:val="000000"/>
          <w:sz w:val="20"/>
          <w:szCs w:val="20"/>
        </w:rPr>
        <w:t>年决算数增加</w:t>
      </w:r>
      <w:r>
        <w:rPr>
          <w:rFonts w:ascii="Arial" w:hAnsi="Arial" w:cs="Arial"/>
          <w:color w:val="000000"/>
          <w:sz w:val="20"/>
          <w:szCs w:val="20"/>
        </w:rPr>
        <w:t> 109.21</w:t>
      </w:r>
      <w:r>
        <w:rPr>
          <w:rFonts w:cs="Arial" w:hint="eastAsia"/>
          <w:color w:val="000000"/>
          <w:sz w:val="20"/>
          <w:szCs w:val="20"/>
        </w:rPr>
        <w:t>万元，增长</w:t>
      </w:r>
      <w:r>
        <w:rPr>
          <w:rFonts w:ascii="Arial" w:hAnsi="Arial" w:cs="Arial"/>
          <w:color w:val="000000"/>
          <w:sz w:val="20"/>
          <w:szCs w:val="20"/>
        </w:rPr>
        <w:t>19.68%</w:t>
      </w:r>
      <w:r>
        <w:rPr>
          <w:rFonts w:cs="Arial" w:hint="eastAsia"/>
          <w:color w:val="000000"/>
          <w:sz w:val="20"/>
          <w:szCs w:val="20"/>
        </w:rPr>
        <w:t>。主要原因是人员经费工资增加。</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cs="Arial" w:hint="eastAsia"/>
          <w:color w:val="000000"/>
          <w:sz w:val="20"/>
          <w:szCs w:val="20"/>
        </w:rPr>
        <w:t>（三）</w:t>
      </w:r>
      <w:r>
        <w:rPr>
          <w:rFonts w:ascii="Arial" w:hAnsi="Arial" w:cs="Arial"/>
          <w:color w:val="000000"/>
          <w:sz w:val="20"/>
          <w:szCs w:val="20"/>
        </w:rPr>
        <w:t>2040599</w:t>
      </w:r>
      <w:r>
        <w:rPr>
          <w:rFonts w:cs="Arial" w:hint="eastAsia"/>
          <w:color w:val="000000"/>
          <w:sz w:val="20"/>
          <w:szCs w:val="20"/>
        </w:rPr>
        <w:t>（项级科目）</w:t>
      </w:r>
      <w:r>
        <w:rPr>
          <w:rFonts w:ascii="Arial" w:hAnsi="Arial" w:cs="Arial"/>
          <w:color w:val="000000"/>
          <w:sz w:val="20"/>
          <w:szCs w:val="20"/>
        </w:rPr>
        <w:t>523.08</w:t>
      </w:r>
      <w:r>
        <w:rPr>
          <w:rFonts w:cs="Arial" w:hint="eastAsia"/>
          <w:color w:val="000000"/>
          <w:sz w:val="20"/>
          <w:szCs w:val="20"/>
        </w:rPr>
        <w:t>万元，较</w:t>
      </w:r>
      <w:r>
        <w:rPr>
          <w:rFonts w:ascii="Arial" w:hAnsi="Arial" w:cs="Arial"/>
          <w:color w:val="000000"/>
          <w:sz w:val="20"/>
          <w:szCs w:val="20"/>
        </w:rPr>
        <w:t>2015</w:t>
      </w:r>
      <w:r>
        <w:rPr>
          <w:rFonts w:cs="Arial" w:hint="eastAsia"/>
          <w:color w:val="000000"/>
          <w:sz w:val="20"/>
          <w:szCs w:val="20"/>
        </w:rPr>
        <w:t>年决算数增加</w:t>
      </w:r>
      <w:r>
        <w:rPr>
          <w:rFonts w:ascii="Arial" w:hAnsi="Arial" w:cs="Arial"/>
          <w:color w:val="000000"/>
          <w:sz w:val="20"/>
          <w:szCs w:val="20"/>
        </w:rPr>
        <w:t>101.77</w:t>
      </w:r>
      <w:r>
        <w:rPr>
          <w:rFonts w:cs="Arial" w:hint="eastAsia"/>
          <w:color w:val="000000"/>
          <w:sz w:val="20"/>
          <w:szCs w:val="20"/>
        </w:rPr>
        <w:t>万元，增长</w:t>
      </w:r>
      <w:r>
        <w:rPr>
          <w:rFonts w:ascii="Arial" w:hAnsi="Arial" w:cs="Arial"/>
          <w:color w:val="000000"/>
          <w:sz w:val="20"/>
          <w:szCs w:val="20"/>
        </w:rPr>
        <w:t>24.16%</w:t>
      </w:r>
      <w:r>
        <w:rPr>
          <w:rFonts w:cs="Arial" w:hint="eastAsia"/>
          <w:color w:val="000000"/>
          <w:sz w:val="20"/>
          <w:szCs w:val="20"/>
        </w:rPr>
        <w:t>。主要原因是光泽县人民法院审判法庭基建县级配套资金下达用于基建支出。</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cs="Arial" w:hint="eastAsia"/>
          <w:color w:val="000000"/>
          <w:sz w:val="20"/>
          <w:szCs w:val="20"/>
        </w:rPr>
        <w:t>（四）</w:t>
      </w:r>
      <w:r>
        <w:rPr>
          <w:rFonts w:ascii="Arial" w:hAnsi="Arial" w:cs="Arial"/>
          <w:color w:val="000000"/>
          <w:sz w:val="20"/>
          <w:szCs w:val="20"/>
        </w:rPr>
        <w:t>2049901</w:t>
      </w:r>
      <w:r>
        <w:rPr>
          <w:rFonts w:cs="Arial" w:hint="eastAsia"/>
          <w:color w:val="000000"/>
          <w:sz w:val="20"/>
          <w:szCs w:val="20"/>
        </w:rPr>
        <w:t>（项级科目）</w:t>
      </w:r>
      <w:r>
        <w:rPr>
          <w:rFonts w:ascii="Arial" w:hAnsi="Arial" w:cs="Arial"/>
          <w:color w:val="000000"/>
          <w:sz w:val="20"/>
          <w:szCs w:val="20"/>
        </w:rPr>
        <w:t>0</w:t>
      </w:r>
      <w:r>
        <w:rPr>
          <w:rFonts w:cs="Arial" w:hint="eastAsia"/>
          <w:color w:val="000000"/>
          <w:sz w:val="20"/>
          <w:szCs w:val="20"/>
        </w:rPr>
        <w:t>万元，较</w:t>
      </w:r>
      <w:r>
        <w:rPr>
          <w:rFonts w:ascii="Arial" w:hAnsi="Arial" w:cs="Arial"/>
          <w:color w:val="000000"/>
          <w:sz w:val="20"/>
          <w:szCs w:val="20"/>
        </w:rPr>
        <w:t>2015</w:t>
      </w:r>
      <w:r>
        <w:rPr>
          <w:rFonts w:cs="Arial" w:hint="eastAsia"/>
          <w:color w:val="000000"/>
          <w:sz w:val="20"/>
          <w:szCs w:val="20"/>
        </w:rPr>
        <w:t>年决算数增加</w:t>
      </w:r>
      <w:r>
        <w:rPr>
          <w:rFonts w:ascii="Arial" w:hAnsi="Arial" w:cs="Arial"/>
          <w:color w:val="000000"/>
          <w:sz w:val="20"/>
          <w:szCs w:val="20"/>
        </w:rPr>
        <w:t>1.7</w:t>
      </w:r>
      <w:r>
        <w:rPr>
          <w:rFonts w:cs="Arial" w:hint="eastAsia"/>
          <w:color w:val="000000"/>
          <w:sz w:val="20"/>
          <w:szCs w:val="20"/>
        </w:rPr>
        <w:t>万元，下降</w:t>
      </w:r>
      <w:r>
        <w:rPr>
          <w:rFonts w:ascii="Arial" w:hAnsi="Arial" w:cs="Arial"/>
          <w:color w:val="000000"/>
          <w:sz w:val="20"/>
          <w:szCs w:val="20"/>
        </w:rPr>
        <w:t>100%</w:t>
      </w:r>
      <w:r>
        <w:rPr>
          <w:rFonts w:cs="Arial" w:hint="eastAsia"/>
          <w:color w:val="000000"/>
          <w:sz w:val="20"/>
          <w:szCs w:val="20"/>
        </w:rPr>
        <w:t>。主要原因是司法救助金资金一般多于次年过年年前发放。</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cs="Arial" w:hint="eastAsia"/>
          <w:color w:val="000000"/>
          <w:sz w:val="20"/>
          <w:szCs w:val="20"/>
        </w:rPr>
        <w:t>（五）</w:t>
      </w:r>
      <w:r>
        <w:rPr>
          <w:rFonts w:ascii="Arial" w:hAnsi="Arial" w:cs="Arial"/>
          <w:color w:val="000000"/>
          <w:sz w:val="20"/>
          <w:szCs w:val="20"/>
        </w:rPr>
        <w:t>2080501</w:t>
      </w:r>
      <w:r>
        <w:rPr>
          <w:rFonts w:cs="Arial" w:hint="eastAsia"/>
          <w:color w:val="000000"/>
          <w:sz w:val="20"/>
          <w:szCs w:val="20"/>
        </w:rPr>
        <w:t>（项级科目）</w:t>
      </w:r>
      <w:r>
        <w:rPr>
          <w:rFonts w:ascii="Arial" w:hAnsi="Arial" w:cs="Arial"/>
          <w:color w:val="000000"/>
          <w:sz w:val="20"/>
          <w:szCs w:val="20"/>
        </w:rPr>
        <w:t>57.36</w:t>
      </w:r>
      <w:r>
        <w:rPr>
          <w:rFonts w:cs="Arial" w:hint="eastAsia"/>
          <w:color w:val="000000"/>
          <w:sz w:val="20"/>
          <w:szCs w:val="20"/>
        </w:rPr>
        <w:t>万元，较</w:t>
      </w:r>
      <w:r>
        <w:rPr>
          <w:rFonts w:ascii="Arial" w:hAnsi="Arial" w:cs="Arial"/>
          <w:color w:val="000000"/>
          <w:sz w:val="20"/>
          <w:szCs w:val="20"/>
        </w:rPr>
        <w:t>2015</w:t>
      </w:r>
      <w:r>
        <w:rPr>
          <w:rFonts w:cs="Arial" w:hint="eastAsia"/>
          <w:color w:val="000000"/>
          <w:sz w:val="20"/>
          <w:szCs w:val="20"/>
        </w:rPr>
        <w:t>年决算数减少</w:t>
      </w:r>
      <w:r>
        <w:rPr>
          <w:rFonts w:ascii="Arial" w:hAnsi="Arial" w:cs="Arial"/>
          <w:color w:val="000000"/>
          <w:sz w:val="20"/>
          <w:szCs w:val="20"/>
        </w:rPr>
        <w:t>33.14</w:t>
      </w:r>
      <w:r>
        <w:rPr>
          <w:rFonts w:cs="Arial" w:hint="eastAsia"/>
          <w:color w:val="000000"/>
          <w:sz w:val="20"/>
          <w:szCs w:val="20"/>
        </w:rPr>
        <w:t>万元，下降</w:t>
      </w:r>
      <w:r>
        <w:rPr>
          <w:rFonts w:ascii="Arial" w:hAnsi="Arial" w:cs="Arial"/>
          <w:color w:val="000000"/>
          <w:sz w:val="20"/>
          <w:szCs w:val="20"/>
        </w:rPr>
        <w:t>36.62%</w:t>
      </w:r>
      <w:r>
        <w:rPr>
          <w:rFonts w:cs="Arial" w:hint="eastAsia"/>
          <w:color w:val="000000"/>
          <w:sz w:val="20"/>
          <w:szCs w:val="20"/>
        </w:rPr>
        <w:t>。主要原因是</w:t>
      </w:r>
      <w:r>
        <w:rPr>
          <w:rFonts w:ascii="Arial" w:hAnsi="Arial" w:cs="Arial"/>
          <w:color w:val="000000"/>
          <w:sz w:val="20"/>
          <w:szCs w:val="20"/>
        </w:rPr>
        <w:t>2016</w:t>
      </w:r>
      <w:r>
        <w:rPr>
          <w:rFonts w:cs="Arial" w:hint="eastAsia"/>
          <w:color w:val="000000"/>
          <w:sz w:val="20"/>
          <w:szCs w:val="20"/>
        </w:rPr>
        <w:t>年</w:t>
      </w:r>
      <w:r>
        <w:rPr>
          <w:rFonts w:ascii="Arial" w:hAnsi="Arial" w:cs="Arial"/>
          <w:color w:val="000000"/>
          <w:sz w:val="20"/>
          <w:szCs w:val="20"/>
        </w:rPr>
        <w:t>7</w:t>
      </w:r>
      <w:r>
        <w:rPr>
          <w:rFonts w:cs="Arial" w:hint="eastAsia"/>
          <w:color w:val="000000"/>
          <w:sz w:val="20"/>
          <w:szCs w:val="20"/>
        </w:rPr>
        <w:t>月起退休人员工资纳入机关社保发放。</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cs="Arial" w:hint="eastAsia"/>
          <w:color w:val="000000"/>
          <w:sz w:val="20"/>
          <w:szCs w:val="20"/>
        </w:rPr>
        <w:t>（五）</w:t>
      </w:r>
      <w:r>
        <w:rPr>
          <w:rFonts w:ascii="Arial" w:hAnsi="Arial" w:cs="Arial"/>
          <w:color w:val="000000"/>
          <w:sz w:val="20"/>
          <w:szCs w:val="20"/>
        </w:rPr>
        <w:t>2100501</w:t>
      </w:r>
      <w:r>
        <w:rPr>
          <w:rFonts w:cs="Arial" w:hint="eastAsia"/>
          <w:color w:val="000000"/>
          <w:sz w:val="20"/>
          <w:szCs w:val="20"/>
        </w:rPr>
        <w:t>（项级科目）</w:t>
      </w:r>
      <w:r>
        <w:rPr>
          <w:rFonts w:ascii="Arial" w:hAnsi="Arial" w:cs="Arial"/>
          <w:color w:val="000000"/>
          <w:sz w:val="20"/>
          <w:szCs w:val="20"/>
        </w:rPr>
        <w:t>32.78</w:t>
      </w:r>
      <w:r>
        <w:rPr>
          <w:rFonts w:cs="Arial" w:hint="eastAsia"/>
          <w:color w:val="000000"/>
          <w:sz w:val="20"/>
          <w:szCs w:val="20"/>
        </w:rPr>
        <w:t>万元，较</w:t>
      </w:r>
      <w:r>
        <w:rPr>
          <w:rFonts w:ascii="Arial" w:hAnsi="Arial" w:cs="Arial"/>
          <w:color w:val="000000"/>
          <w:sz w:val="20"/>
          <w:szCs w:val="20"/>
        </w:rPr>
        <w:t>2015</w:t>
      </w:r>
      <w:r>
        <w:rPr>
          <w:rFonts w:cs="Arial" w:hint="eastAsia"/>
          <w:color w:val="000000"/>
          <w:sz w:val="20"/>
          <w:szCs w:val="20"/>
        </w:rPr>
        <w:t>年决算数增加</w:t>
      </w:r>
      <w:r>
        <w:rPr>
          <w:rFonts w:ascii="Arial" w:hAnsi="Arial" w:cs="Arial"/>
          <w:color w:val="000000"/>
          <w:sz w:val="20"/>
          <w:szCs w:val="20"/>
        </w:rPr>
        <w:t>6.71</w:t>
      </w:r>
      <w:r>
        <w:rPr>
          <w:rFonts w:cs="Arial" w:hint="eastAsia"/>
          <w:color w:val="000000"/>
          <w:sz w:val="20"/>
          <w:szCs w:val="20"/>
        </w:rPr>
        <w:t>万元，增长</w:t>
      </w:r>
      <w:r>
        <w:rPr>
          <w:rFonts w:ascii="Arial" w:hAnsi="Arial" w:cs="Arial"/>
          <w:color w:val="000000"/>
          <w:sz w:val="20"/>
          <w:szCs w:val="20"/>
        </w:rPr>
        <w:t>25.74%</w:t>
      </w:r>
      <w:r>
        <w:rPr>
          <w:rFonts w:cs="Arial" w:hint="eastAsia"/>
          <w:color w:val="000000"/>
          <w:sz w:val="20"/>
          <w:szCs w:val="20"/>
        </w:rPr>
        <w:t>。主要原因是人员经费工资增加医保缴交基数相应增加。</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cs="Arial" w:hint="eastAsia"/>
          <w:color w:val="000000"/>
          <w:sz w:val="20"/>
          <w:szCs w:val="20"/>
        </w:rPr>
        <w:t>（六）</w:t>
      </w:r>
      <w:r>
        <w:rPr>
          <w:rFonts w:ascii="Arial" w:hAnsi="Arial" w:cs="Arial"/>
          <w:color w:val="000000"/>
          <w:sz w:val="20"/>
          <w:szCs w:val="20"/>
        </w:rPr>
        <w:t>2210201</w:t>
      </w:r>
      <w:r>
        <w:rPr>
          <w:rFonts w:cs="Arial" w:hint="eastAsia"/>
          <w:color w:val="000000"/>
          <w:sz w:val="20"/>
          <w:szCs w:val="20"/>
        </w:rPr>
        <w:t>（项级科目）</w:t>
      </w:r>
      <w:r>
        <w:rPr>
          <w:rFonts w:ascii="Arial" w:hAnsi="Arial" w:cs="Arial"/>
          <w:color w:val="000000"/>
          <w:sz w:val="20"/>
          <w:szCs w:val="20"/>
        </w:rPr>
        <w:t>46.16</w:t>
      </w:r>
      <w:r>
        <w:rPr>
          <w:rFonts w:cs="Arial" w:hint="eastAsia"/>
          <w:color w:val="000000"/>
          <w:sz w:val="20"/>
          <w:szCs w:val="20"/>
        </w:rPr>
        <w:t>万元，较</w:t>
      </w:r>
      <w:r>
        <w:rPr>
          <w:rFonts w:ascii="Arial" w:hAnsi="Arial" w:cs="Arial"/>
          <w:color w:val="000000"/>
          <w:sz w:val="20"/>
          <w:szCs w:val="20"/>
        </w:rPr>
        <w:t>2015</w:t>
      </w:r>
      <w:r>
        <w:rPr>
          <w:rFonts w:cs="Arial" w:hint="eastAsia"/>
          <w:color w:val="000000"/>
          <w:sz w:val="20"/>
          <w:szCs w:val="20"/>
        </w:rPr>
        <w:t>年决算数增加</w:t>
      </w:r>
      <w:r>
        <w:rPr>
          <w:rFonts w:ascii="Arial" w:hAnsi="Arial" w:cs="Arial"/>
          <w:color w:val="000000"/>
          <w:sz w:val="20"/>
          <w:szCs w:val="20"/>
        </w:rPr>
        <w:t>2.01</w:t>
      </w:r>
      <w:r>
        <w:rPr>
          <w:rFonts w:cs="Arial" w:hint="eastAsia"/>
          <w:color w:val="000000"/>
          <w:sz w:val="20"/>
          <w:szCs w:val="20"/>
        </w:rPr>
        <w:t>万元，增长</w:t>
      </w:r>
      <w:r>
        <w:rPr>
          <w:rFonts w:ascii="Arial" w:hAnsi="Arial" w:cs="Arial"/>
          <w:color w:val="000000"/>
          <w:sz w:val="20"/>
          <w:szCs w:val="20"/>
        </w:rPr>
        <w:t>4.55%</w:t>
      </w:r>
      <w:r>
        <w:rPr>
          <w:rFonts w:cs="Arial" w:hint="eastAsia"/>
          <w:color w:val="000000"/>
          <w:sz w:val="20"/>
          <w:szCs w:val="20"/>
        </w:rPr>
        <w:t>。主要原因是主要原因是人员经费工资增加住房公积金缴交基数相应增加。</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cs="Arial" w:hint="eastAsia"/>
          <w:color w:val="000000"/>
          <w:sz w:val="20"/>
          <w:szCs w:val="20"/>
        </w:rPr>
        <w:t>（七）</w:t>
      </w:r>
      <w:r>
        <w:rPr>
          <w:rFonts w:ascii="Arial" w:hAnsi="Arial" w:cs="Arial"/>
          <w:color w:val="000000"/>
          <w:sz w:val="20"/>
          <w:szCs w:val="20"/>
        </w:rPr>
        <w:t>2299901</w:t>
      </w:r>
      <w:r>
        <w:rPr>
          <w:rFonts w:cs="Arial" w:hint="eastAsia"/>
          <w:color w:val="000000"/>
          <w:sz w:val="20"/>
          <w:szCs w:val="20"/>
        </w:rPr>
        <w:t>（项级科目）</w:t>
      </w:r>
      <w:r>
        <w:rPr>
          <w:rFonts w:ascii="Arial" w:hAnsi="Arial" w:cs="Arial"/>
          <w:color w:val="000000"/>
          <w:sz w:val="20"/>
          <w:szCs w:val="20"/>
        </w:rPr>
        <w:t>302.5</w:t>
      </w:r>
      <w:r>
        <w:rPr>
          <w:rFonts w:cs="Arial" w:hint="eastAsia"/>
          <w:color w:val="000000"/>
          <w:sz w:val="20"/>
          <w:szCs w:val="20"/>
        </w:rPr>
        <w:t>万元，较</w:t>
      </w:r>
      <w:r>
        <w:rPr>
          <w:rFonts w:ascii="Arial" w:hAnsi="Arial" w:cs="Arial"/>
          <w:color w:val="000000"/>
          <w:sz w:val="20"/>
          <w:szCs w:val="20"/>
        </w:rPr>
        <w:t>2015</w:t>
      </w:r>
      <w:r>
        <w:rPr>
          <w:rFonts w:cs="Arial" w:hint="eastAsia"/>
          <w:color w:val="000000"/>
          <w:sz w:val="20"/>
          <w:szCs w:val="20"/>
        </w:rPr>
        <w:t>年决算数增加</w:t>
      </w:r>
      <w:r>
        <w:rPr>
          <w:rFonts w:ascii="Arial" w:hAnsi="Arial" w:cs="Arial"/>
          <w:color w:val="000000"/>
          <w:sz w:val="20"/>
          <w:szCs w:val="20"/>
        </w:rPr>
        <w:t>302.5</w:t>
      </w:r>
      <w:r>
        <w:rPr>
          <w:rFonts w:cs="Arial" w:hint="eastAsia"/>
          <w:color w:val="000000"/>
          <w:sz w:val="20"/>
          <w:szCs w:val="20"/>
        </w:rPr>
        <w:t>万元，增长</w:t>
      </w:r>
      <w:r>
        <w:rPr>
          <w:rFonts w:ascii="Arial" w:hAnsi="Arial" w:cs="Arial"/>
          <w:color w:val="000000"/>
          <w:sz w:val="20"/>
          <w:szCs w:val="20"/>
        </w:rPr>
        <w:t>100%</w:t>
      </w:r>
      <w:r>
        <w:rPr>
          <w:rFonts w:cs="Arial" w:hint="eastAsia"/>
          <w:color w:val="000000"/>
          <w:sz w:val="20"/>
          <w:szCs w:val="20"/>
        </w:rPr>
        <w:t>。主要原因是光泽县人民法院审判法庭基建省级配套资金下达用于基建支出。</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Style w:val="a3"/>
          <w:rFonts w:cs="Arial" w:hint="eastAsia"/>
          <w:color w:val="000000"/>
          <w:sz w:val="20"/>
          <w:szCs w:val="20"/>
        </w:rPr>
        <w:t>六、政府性基金支出决算情况</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ascii="Arial" w:hAnsi="Arial" w:cs="Arial"/>
          <w:color w:val="000000"/>
          <w:sz w:val="20"/>
          <w:szCs w:val="20"/>
        </w:rPr>
        <w:t>2016</w:t>
      </w:r>
      <w:r>
        <w:rPr>
          <w:rFonts w:cs="Arial" w:hint="eastAsia"/>
          <w:color w:val="000000"/>
          <w:sz w:val="20"/>
          <w:szCs w:val="20"/>
        </w:rPr>
        <w:t>年政府性基金支出</w:t>
      </w:r>
      <w:r>
        <w:rPr>
          <w:rFonts w:ascii="Arial" w:hAnsi="Arial" w:cs="Arial"/>
          <w:color w:val="000000"/>
          <w:sz w:val="20"/>
          <w:szCs w:val="20"/>
        </w:rPr>
        <w:t> 0</w:t>
      </w:r>
      <w:r>
        <w:rPr>
          <w:rFonts w:cs="Arial" w:hint="eastAsia"/>
          <w:color w:val="000000"/>
          <w:sz w:val="20"/>
          <w:szCs w:val="20"/>
        </w:rPr>
        <w:t>万元，比</w:t>
      </w:r>
      <w:r>
        <w:rPr>
          <w:rFonts w:ascii="Arial" w:hAnsi="Arial" w:cs="Arial"/>
          <w:color w:val="000000"/>
          <w:sz w:val="20"/>
          <w:szCs w:val="20"/>
        </w:rPr>
        <w:t>2015</w:t>
      </w:r>
      <w:r>
        <w:rPr>
          <w:rFonts w:cs="Arial" w:hint="eastAsia"/>
          <w:color w:val="000000"/>
          <w:sz w:val="20"/>
          <w:szCs w:val="20"/>
        </w:rPr>
        <w:t>年决算数增加（减少）</w:t>
      </w:r>
      <w:r>
        <w:rPr>
          <w:rFonts w:ascii="Arial" w:hAnsi="Arial" w:cs="Arial"/>
          <w:color w:val="000000"/>
          <w:sz w:val="20"/>
          <w:szCs w:val="20"/>
        </w:rPr>
        <w:t>0</w:t>
      </w:r>
      <w:r>
        <w:rPr>
          <w:rFonts w:cs="Arial" w:hint="eastAsia"/>
          <w:color w:val="000000"/>
          <w:sz w:val="20"/>
          <w:szCs w:val="20"/>
        </w:rPr>
        <w:t>万元，增长（下降）</w:t>
      </w:r>
      <w:r>
        <w:rPr>
          <w:rFonts w:ascii="Arial" w:hAnsi="Arial" w:cs="Arial"/>
          <w:color w:val="000000"/>
          <w:sz w:val="20"/>
          <w:szCs w:val="20"/>
        </w:rPr>
        <w:t>0 %</w:t>
      </w:r>
      <w:r>
        <w:rPr>
          <w:rFonts w:cs="Arial" w:hint="eastAsia"/>
          <w:color w:val="000000"/>
          <w:sz w:val="20"/>
          <w:szCs w:val="20"/>
        </w:rPr>
        <w:t>。</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Style w:val="a3"/>
          <w:rFonts w:cs="Arial" w:hint="eastAsia"/>
          <w:color w:val="000000"/>
          <w:sz w:val="20"/>
          <w:szCs w:val="20"/>
        </w:rPr>
        <w:t>七、“三公”经费公共财政拨款支出决算情况</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ascii="Arial" w:hAnsi="Arial" w:cs="Arial"/>
          <w:color w:val="000000"/>
          <w:sz w:val="20"/>
          <w:szCs w:val="20"/>
        </w:rPr>
        <w:t>2016</w:t>
      </w:r>
      <w:r>
        <w:rPr>
          <w:rFonts w:cs="Arial" w:hint="eastAsia"/>
          <w:color w:val="000000"/>
          <w:sz w:val="20"/>
          <w:szCs w:val="20"/>
        </w:rPr>
        <w:t>年“三公”经费公共财政拨款支出</w:t>
      </w:r>
      <w:r>
        <w:rPr>
          <w:rFonts w:ascii="Arial" w:hAnsi="Arial" w:cs="Arial"/>
          <w:color w:val="000000"/>
          <w:sz w:val="20"/>
          <w:szCs w:val="20"/>
        </w:rPr>
        <w:t>42.68</w:t>
      </w:r>
      <w:r>
        <w:rPr>
          <w:rFonts w:cs="Arial" w:hint="eastAsia"/>
          <w:color w:val="000000"/>
          <w:sz w:val="20"/>
          <w:szCs w:val="20"/>
        </w:rPr>
        <w:t>万元，同比增长</w:t>
      </w:r>
      <w:r>
        <w:rPr>
          <w:rFonts w:ascii="Arial" w:hAnsi="Arial" w:cs="Arial"/>
          <w:color w:val="000000"/>
          <w:sz w:val="20"/>
          <w:szCs w:val="20"/>
        </w:rPr>
        <w:t>18.99%</w:t>
      </w:r>
      <w:r>
        <w:rPr>
          <w:rFonts w:cs="Arial" w:hint="eastAsia"/>
          <w:color w:val="000000"/>
          <w:sz w:val="20"/>
          <w:szCs w:val="20"/>
        </w:rPr>
        <w:t>。主要是由于</w:t>
      </w:r>
      <w:r>
        <w:rPr>
          <w:rFonts w:ascii="Arial" w:hAnsi="Arial" w:cs="Arial"/>
          <w:color w:val="000000"/>
          <w:sz w:val="20"/>
          <w:szCs w:val="20"/>
        </w:rPr>
        <w:t> </w:t>
      </w:r>
      <w:r>
        <w:rPr>
          <w:rFonts w:cs="Arial" w:hint="eastAsia"/>
          <w:color w:val="000000"/>
          <w:sz w:val="20"/>
          <w:szCs w:val="20"/>
        </w:rPr>
        <w:t>：</w:t>
      </w:r>
      <w:r>
        <w:rPr>
          <w:rFonts w:ascii="Arial" w:hAnsi="Arial" w:cs="Arial"/>
          <w:color w:val="000000"/>
          <w:sz w:val="20"/>
          <w:szCs w:val="20"/>
        </w:rPr>
        <w:t>1</w:t>
      </w:r>
      <w:r>
        <w:rPr>
          <w:rFonts w:cs="Arial" w:hint="eastAsia"/>
          <w:color w:val="000000"/>
          <w:sz w:val="20"/>
          <w:szCs w:val="20"/>
        </w:rPr>
        <w:t>、我院车辆使用年限较长，损耗较大，运行维护成本较高；</w:t>
      </w:r>
      <w:r>
        <w:rPr>
          <w:rFonts w:ascii="Arial" w:hAnsi="Arial" w:cs="Arial"/>
          <w:color w:val="000000"/>
          <w:sz w:val="20"/>
          <w:szCs w:val="20"/>
        </w:rPr>
        <w:t>2</w:t>
      </w:r>
      <w:r>
        <w:rPr>
          <w:rFonts w:cs="Arial" w:hint="eastAsia"/>
          <w:color w:val="000000"/>
          <w:sz w:val="20"/>
          <w:szCs w:val="20"/>
        </w:rPr>
        <w:t>、公车运行费</w:t>
      </w:r>
      <w:r>
        <w:rPr>
          <w:rFonts w:ascii="Arial" w:hAnsi="Arial" w:cs="Arial"/>
          <w:color w:val="000000"/>
          <w:sz w:val="20"/>
          <w:szCs w:val="20"/>
        </w:rPr>
        <w:t>2016</w:t>
      </w:r>
      <w:r>
        <w:rPr>
          <w:rFonts w:cs="Arial" w:hint="eastAsia"/>
          <w:color w:val="000000"/>
          <w:sz w:val="20"/>
          <w:szCs w:val="20"/>
        </w:rPr>
        <w:t>年</w:t>
      </w:r>
      <w:r>
        <w:rPr>
          <w:rFonts w:ascii="Arial" w:hAnsi="Arial" w:cs="Arial"/>
          <w:color w:val="000000"/>
          <w:sz w:val="20"/>
          <w:szCs w:val="20"/>
        </w:rPr>
        <w:t>5</w:t>
      </w:r>
      <w:r>
        <w:rPr>
          <w:rFonts w:cs="Arial" w:hint="eastAsia"/>
          <w:color w:val="000000"/>
          <w:sz w:val="20"/>
          <w:szCs w:val="20"/>
        </w:rPr>
        <w:t>月结算了</w:t>
      </w:r>
      <w:r>
        <w:rPr>
          <w:rFonts w:ascii="Arial" w:hAnsi="Arial" w:cs="Arial"/>
          <w:color w:val="000000"/>
          <w:sz w:val="20"/>
          <w:szCs w:val="20"/>
        </w:rPr>
        <w:t> 2014</w:t>
      </w:r>
      <w:r>
        <w:rPr>
          <w:rFonts w:cs="Arial" w:hint="eastAsia"/>
          <w:color w:val="000000"/>
          <w:sz w:val="20"/>
          <w:szCs w:val="20"/>
        </w:rPr>
        <w:t>年</w:t>
      </w:r>
      <w:r>
        <w:rPr>
          <w:rFonts w:ascii="Arial" w:hAnsi="Arial" w:cs="Arial"/>
          <w:color w:val="000000"/>
          <w:sz w:val="20"/>
          <w:szCs w:val="20"/>
        </w:rPr>
        <w:t>12</w:t>
      </w:r>
      <w:r>
        <w:rPr>
          <w:rFonts w:cs="Arial" w:hint="eastAsia"/>
          <w:color w:val="000000"/>
          <w:sz w:val="20"/>
          <w:szCs w:val="20"/>
        </w:rPr>
        <w:t>月至</w:t>
      </w:r>
      <w:r>
        <w:rPr>
          <w:rFonts w:ascii="Arial" w:hAnsi="Arial" w:cs="Arial"/>
          <w:color w:val="000000"/>
          <w:sz w:val="20"/>
          <w:szCs w:val="20"/>
        </w:rPr>
        <w:t>2015</w:t>
      </w:r>
      <w:r>
        <w:rPr>
          <w:rFonts w:cs="Arial" w:hint="eastAsia"/>
          <w:color w:val="000000"/>
          <w:sz w:val="20"/>
          <w:szCs w:val="20"/>
        </w:rPr>
        <w:t>年</w:t>
      </w:r>
      <w:r>
        <w:rPr>
          <w:rFonts w:ascii="Arial" w:hAnsi="Arial" w:cs="Arial"/>
          <w:color w:val="000000"/>
          <w:sz w:val="20"/>
          <w:szCs w:val="20"/>
        </w:rPr>
        <w:t>12</w:t>
      </w:r>
      <w:r>
        <w:rPr>
          <w:rFonts w:cs="Arial" w:hint="eastAsia"/>
          <w:color w:val="000000"/>
          <w:sz w:val="20"/>
          <w:szCs w:val="20"/>
        </w:rPr>
        <w:t>月期间的车辆维修费</w:t>
      </w:r>
      <w:r>
        <w:rPr>
          <w:rFonts w:ascii="Arial" w:hAnsi="Arial" w:cs="Arial"/>
          <w:color w:val="000000"/>
          <w:sz w:val="20"/>
          <w:szCs w:val="20"/>
        </w:rPr>
        <w:t>4</w:t>
      </w:r>
      <w:r>
        <w:rPr>
          <w:rFonts w:cs="Arial" w:hint="eastAsia"/>
          <w:color w:val="000000"/>
          <w:sz w:val="20"/>
          <w:szCs w:val="20"/>
        </w:rPr>
        <w:t>万元，导致</w:t>
      </w:r>
      <w:r>
        <w:rPr>
          <w:rFonts w:ascii="Arial" w:hAnsi="Arial" w:cs="Arial"/>
          <w:color w:val="000000"/>
          <w:sz w:val="20"/>
          <w:szCs w:val="20"/>
        </w:rPr>
        <w:t>2015</w:t>
      </w:r>
      <w:r>
        <w:rPr>
          <w:rFonts w:cs="Arial" w:hint="eastAsia"/>
          <w:color w:val="000000"/>
          <w:sz w:val="20"/>
          <w:szCs w:val="20"/>
        </w:rPr>
        <w:t>年列支的公车运行费用</w:t>
      </w:r>
      <w:r>
        <w:rPr>
          <w:rFonts w:ascii="Arial" w:hAnsi="Arial" w:cs="Arial"/>
          <w:color w:val="000000"/>
          <w:sz w:val="20"/>
          <w:szCs w:val="20"/>
        </w:rPr>
        <w:t>26.68</w:t>
      </w:r>
      <w:r>
        <w:rPr>
          <w:rFonts w:cs="Arial" w:hint="eastAsia"/>
          <w:color w:val="000000"/>
          <w:sz w:val="20"/>
          <w:szCs w:val="20"/>
        </w:rPr>
        <w:t>万元比实际发生数少</w:t>
      </w:r>
      <w:r>
        <w:rPr>
          <w:rFonts w:ascii="Arial" w:hAnsi="Arial" w:cs="Arial"/>
          <w:color w:val="000000"/>
          <w:sz w:val="20"/>
          <w:szCs w:val="20"/>
        </w:rPr>
        <w:t>4</w:t>
      </w:r>
      <w:r>
        <w:rPr>
          <w:rFonts w:cs="Arial" w:hint="eastAsia"/>
          <w:color w:val="000000"/>
          <w:sz w:val="20"/>
          <w:szCs w:val="20"/>
        </w:rPr>
        <w:t>万元；</w:t>
      </w:r>
      <w:r>
        <w:rPr>
          <w:rFonts w:ascii="Arial" w:hAnsi="Arial" w:cs="Arial"/>
          <w:color w:val="000000"/>
          <w:sz w:val="20"/>
          <w:szCs w:val="20"/>
        </w:rPr>
        <w:t>2016</w:t>
      </w:r>
      <w:r>
        <w:rPr>
          <w:rFonts w:cs="Arial" w:hint="eastAsia"/>
          <w:color w:val="000000"/>
          <w:sz w:val="20"/>
          <w:szCs w:val="20"/>
        </w:rPr>
        <w:t>年列支的公车运行费</w:t>
      </w:r>
      <w:r>
        <w:rPr>
          <w:rFonts w:ascii="Arial" w:hAnsi="Arial" w:cs="Arial"/>
          <w:color w:val="000000"/>
          <w:sz w:val="20"/>
          <w:szCs w:val="20"/>
        </w:rPr>
        <w:t>34.23</w:t>
      </w:r>
      <w:r>
        <w:rPr>
          <w:rFonts w:cs="Arial" w:hint="eastAsia"/>
          <w:color w:val="000000"/>
          <w:sz w:val="20"/>
          <w:szCs w:val="20"/>
        </w:rPr>
        <w:t>较</w:t>
      </w:r>
      <w:r>
        <w:rPr>
          <w:rFonts w:ascii="Arial" w:hAnsi="Arial" w:cs="Arial"/>
          <w:color w:val="000000"/>
          <w:sz w:val="20"/>
          <w:szCs w:val="20"/>
        </w:rPr>
        <w:t>2016</w:t>
      </w:r>
      <w:r>
        <w:rPr>
          <w:rFonts w:cs="Arial" w:hint="eastAsia"/>
          <w:color w:val="000000"/>
          <w:sz w:val="20"/>
          <w:szCs w:val="20"/>
        </w:rPr>
        <w:t>年实际发生数增加</w:t>
      </w:r>
      <w:r>
        <w:rPr>
          <w:rFonts w:ascii="Arial" w:hAnsi="Arial" w:cs="Arial"/>
          <w:color w:val="000000"/>
          <w:sz w:val="20"/>
          <w:szCs w:val="20"/>
        </w:rPr>
        <w:t>4</w:t>
      </w:r>
      <w:r>
        <w:rPr>
          <w:rFonts w:cs="Arial" w:hint="eastAsia"/>
          <w:color w:val="000000"/>
          <w:sz w:val="20"/>
          <w:szCs w:val="20"/>
        </w:rPr>
        <w:t>万元，并且较</w:t>
      </w:r>
      <w:r>
        <w:rPr>
          <w:rFonts w:ascii="Arial" w:hAnsi="Arial" w:cs="Arial"/>
          <w:color w:val="000000"/>
          <w:sz w:val="20"/>
          <w:szCs w:val="20"/>
        </w:rPr>
        <w:t>2015</w:t>
      </w:r>
      <w:r>
        <w:rPr>
          <w:rFonts w:cs="Arial" w:hint="eastAsia"/>
          <w:color w:val="000000"/>
          <w:sz w:val="20"/>
          <w:szCs w:val="20"/>
        </w:rPr>
        <w:t>年列支的公车运行费增加</w:t>
      </w:r>
      <w:r>
        <w:rPr>
          <w:rFonts w:ascii="Arial" w:hAnsi="Arial" w:cs="Arial"/>
          <w:color w:val="000000"/>
          <w:sz w:val="20"/>
          <w:szCs w:val="20"/>
        </w:rPr>
        <w:t>7.55</w:t>
      </w:r>
      <w:r>
        <w:rPr>
          <w:rFonts w:cs="Arial" w:hint="eastAsia"/>
          <w:color w:val="000000"/>
          <w:sz w:val="20"/>
          <w:szCs w:val="20"/>
        </w:rPr>
        <w:t>万元。具体情况如下：</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cs="Arial" w:hint="eastAsia"/>
          <w:color w:val="000000"/>
          <w:sz w:val="20"/>
          <w:szCs w:val="20"/>
        </w:rPr>
        <w:lastRenderedPageBreak/>
        <w:t>（一）因公出国（境）费</w:t>
      </w:r>
      <w:r>
        <w:rPr>
          <w:rFonts w:ascii="Arial" w:hAnsi="Arial" w:cs="Arial"/>
          <w:color w:val="000000"/>
          <w:sz w:val="20"/>
          <w:szCs w:val="20"/>
        </w:rPr>
        <w:t>0</w:t>
      </w:r>
      <w:r>
        <w:rPr>
          <w:rFonts w:cs="Arial" w:hint="eastAsia"/>
          <w:color w:val="000000"/>
          <w:sz w:val="20"/>
          <w:szCs w:val="20"/>
        </w:rPr>
        <w:t>万元。</w:t>
      </w:r>
      <w:r>
        <w:rPr>
          <w:rFonts w:ascii="Arial" w:hAnsi="Arial" w:cs="Arial"/>
          <w:color w:val="000000"/>
          <w:sz w:val="20"/>
          <w:szCs w:val="20"/>
        </w:rPr>
        <w:t>2016</w:t>
      </w:r>
      <w:r>
        <w:rPr>
          <w:rFonts w:cs="Arial" w:hint="eastAsia"/>
          <w:color w:val="000000"/>
          <w:sz w:val="20"/>
          <w:szCs w:val="20"/>
        </w:rPr>
        <w:t>年本单位组织出国团组</w:t>
      </w:r>
      <w:r>
        <w:rPr>
          <w:rFonts w:ascii="Arial" w:hAnsi="Arial" w:cs="Arial"/>
          <w:color w:val="000000"/>
          <w:sz w:val="20"/>
          <w:szCs w:val="20"/>
        </w:rPr>
        <w:t> 0</w:t>
      </w:r>
      <w:r>
        <w:rPr>
          <w:rFonts w:cs="Arial" w:hint="eastAsia"/>
          <w:color w:val="000000"/>
          <w:sz w:val="20"/>
          <w:szCs w:val="20"/>
        </w:rPr>
        <w:t>个，参加其他单位出国团组</w:t>
      </w:r>
      <w:r>
        <w:rPr>
          <w:rFonts w:ascii="Arial" w:hAnsi="Arial" w:cs="Arial"/>
          <w:color w:val="000000"/>
          <w:sz w:val="20"/>
          <w:szCs w:val="20"/>
        </w:rPr>
        <w:t> 0</w:t>
      </w:r>
      <w:r>
        <w:rPr>
          <w:rFonts w:cs="Arial" w:hint="eastAsia"/>
          <w:color w:val="000000"/>
          <w:sz w:val="20"/>
          <w:szCs w:val="20"/>
        </w:rPr>
        <w:t>个；全年因公出国（境）累计</w:t>
      </w:r>
      <w:r>
        <w:rPr>
          <w:rFonts w:ascii="Arial" w:hAnsi="Arial" w:cs="Arial"/>
          <w:color w:val="000000"/>
          <w:sz w:val="20"/>
          <w:szCs w:val="20"/>
        </w:rPr>
        <w:t>0</w:t>
      </w:r>
      <w:r>
        <w:rPr>
          <w:rFonts w:cs="Arial" w:hint="eastAsia"/>
          <w:color w:val="000000"/>
          <w:sz w:val="20"/>
          <w:szCs w:val="20"/>
        </w:rPr>
        <w:t>人次。与</w:t>
      </w:r>
      <w:r>
        <w:rPr>
          <w:rFonts w:ascii="Arial" w:hAnsi="Arial" w:cs="Arial"/>
          <w:color w:val="000000"/>
          <w:sz w:val="20"/>
          <w:szCs w:val="20"/>
        </w:rPr>
        <w:t>2015</w:t>
      </w:r>
      <w:r>
        <w:rPr>
          <w:rFonts w:cs="Arial" w:hint="eastAsia"/>
          <w:color w:val="000000"/>
          <w:sz w:val="20"/>
          <w:szCs w:val="20"/>
        </w:rPr>
        <w:t>年相比</w:t>
      </w:r>
      <w:r>
        <w:rPr>
          <w:rFonts w:ascii="Arial" w:hAnsi="Arial" w:cs="Arial"/>
          <w:color w:val="000000"/>
          <w:sz w:val="20"/>
          <w:szCs w:val="20"/>
        </w:rPr>
        <w:t>, </w:t>
      </w:r>
      <w:r>
        <w:rPr>
          <w:rFonts w:cs="Arial" w:hint="eastAsia"/>
          <w:color w:val="000000"/>
          <w:sz w:val="20"/>
          <w:szCs w:val="20"/>
        </w:rPr>
        <w:t>因公出国（境）经费支出下降（增长）</w:t>
      </w:r>
      <w:r>
        <w:rPr>
          <w:rFonts w:ascii="Arial" w:hAnsi="Arial" w:cs="Arial"/>
          <w:color w:val="000000"/>
          <w:sz w:val="20"/>
          <w:szCs w:val="20"/>
        </w:rPr>
        <w:t>0 %</w:t>
      </w:r>
      <w:r>
        <w:rPr>
          <w:rFonts w:cs="Arial" w:hint="eastAsia"/>
          <w:color w:val="000000"/>
          <w:sz w:val="20"/>
          <w:szCs w:val="20"/>
        </w:rPr>
        <w:t>，主要是</w:t>
      </w:r>
      <w:r>
        <w:rPr>
          <w:rFonts w:ascii="Arial" w:hAnsi="Arial" w:cs="Arial"/>
          <w:color w:val="000000"/>
          <w:sz w:val="20"/>
          <w:szCs w:val="20"/>
        </w:rPr>
        <w:t>:2015</w:t>
      </w:r>
      <w:r>
        <w:rPr>
          <w:rFonts w:cs="Arial" w:hint="eastAsia"/>
          <w:color w:val="000000"/>
          <w:sz w:val="20"/>
          <w:szCs w:val="20"/>
        </w:rPr>
        <w:t>年及</w:t>
      </w:r>
      <w:r>
        <w:rPr>
          <w:rFonts w:ascii="Arial" w:hAnsi="Arial" w:cs="Arial"/>
          <w:color w:val="000000"/>
          <w:sz w:val="20"/>
          <w:szCs w:val="20"/>
        </w:rPr>
        <w:t>2016</w:t>
      </w:r>
      <w:r>
        <w:rPr>
          <w:rFonts w:cs="Arial" w:hint="eastAsia"/>
          <w:color w:val="000000"/>
          <w:sz w:val="20"/>
          <w:szCs w:val="20"/>
        </w:rPr>
        <w:t>年均未发生因公出国（境）费用。</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cs="Arial" w:hint="eastAsia"/>
          <w:color w:val="000000"/>
          <w:sz w:val="20"/>
          <w:szCs w:val="20"/>
        </w:rPr>
        <w:t>（二）公务用车购置及运行费</w:t>
      </w:r>
      <w:r>
        <w:rPr>
          <w:rFonts w:ascii="Arial" w:hAnsi="Arial" w:cs="Arial"/>
          <w:color w:val="000000"/>
          <w:sz w:val="20"/>
          <w:szCs w:val="20"/>
        </w:rPr>
        <w:t>34.23</w:t>
      </w:r>
      <w:r>
        <w:rPr>
          <w:rFonts w:cs="Arial" w:hint="eastAsia"/>
          <w:color w:val="000000"/>
          <w:sz w:val="20"/>
          <w:szCs w:val="20"/>
        </w:rPr>
        <w:t>万元。其中：公务用车购置费</w:t>
      </w:r>
      <w:r>
        <w:rPr>
          <w:rFonts w:ascii="Arial" w:hAnsi="Arial" w:cs="Arial"/>
          <w:color w:val="000000"/>
          <w:sz w:val="20"/>
          <w:szCs w:val="20"/>
        </w:rPr>
        <w:t>0</w:t>
      </w:r>
      <w:r>
        <w:rPr>
          <w:rFonts w:cs="Arial" w:hint="eastAsia"/>
          <w:color w:val="000000"/>
          <w:sz w:val="20"/>
          <w:szCs w:val="20"/>
        </w:rPr>
        <w:t>万元，</w:t>
      </w:r>
      <w:r>
        <w:rPr>
          <w:rFonts w:ascii="Arial" w:hAnsi="Arial" w:cs="Arial"/>
          <w:color w:val="000000"/>
          <w:sz w:val="20"/>
          <w:szCs w:val="20"/>
        </w:rPr>
        <w:t>2016</w:t>
      </w:r>
      <w:r>
        <w:rPr>
          <w:rFonts w:cs="Arial" w:hint="eastAsia"/>
          <w:color w:val="000000"/>
          <w:sz w:val="20"/>
          <w:szCs w:val="20"/>
        </w:rPr>
        <w:t>年公务用车购置</w:t>
      </w:r>
      <w:r>
        <w:rPr>
          <w:rFonts w:ascii="Arial" w:hAnsi="Arial" w:cs="Arial"/>
          <w:color w:val="000000"/>
          <w:sz w:val="20"/>
          <w:szCs w:val="20"/>
        </w:rPr>
        <w:t>0</w:t>
      </w:r>
      <w:r>
        <w:rPr>
          <w:rFonts w:cs="Arial" w:hint="eastAsia"/>
          <w:color w:val="000000"/>
          <w:sz w:val="20"/>
          <w:szCs w:val="20"/>
        </w:rPr>
        <w:t>辆。公务用车运行费</w:t>
      </w:r>
      <w:r>
        <w:rPr>
          <w:rFonts w:ascii="Arial" w:hAnsi="Arial" w:cs="Arial"/>
          <w:color w:val="000000"/>
          <w:sz w:val="20"/>
          <w:szCs w:val="20"/>
        </w:rPr>
        <w:t>34.23</w:t>
      </w:r>
      <w:r>
        <w:rPr>
          <w:rFonts w:cs="Arial" w:hint="eastAsia"/>
          <w:color w:val="000000"/>
          <w:sz w:val="20"/>
          <w:szCs w:val="20"/>
        </w:rPr>
        <w:t>万元，主要用于公务用车燃油、维修、保险等方面支出，年末公务用车保有量</w:t>
      </w:r>
      <w:r>
        <w:rPr>
          <w:rFonts w:ascii="Arial" w:hAnsi="Arial" w:cs="Arial"/>
          <w:color w:val="000000"/>
          <w:sz w:val="20"/>
          <w:szCs w:val="20"/>
        </w:rPr>
        <w:t>11</w:t>
      </w:r>
      <w:r>
        <w:rPr>
          <w:rFonts w:cs="Arial" w:hint="eastAsia"/>
          <w:color w:val="000000"/>
          <w:sz w:val="20"/>
          <w:szCs w:val="20"/>
        </w:rPr>
        <w:t>辆。与</w:t>
      </w:r>
      <w:r>
        <w:rPr>
          <w:rFonts w:ascii="Arial" w:hAnsi="Arial" w:cs="Arial"/>
          <w:color w:val="000000"/>
          <w:sz w:val="20"/>
          <w:szCs w:val="20"/>
        </w:rPr>
        <w:t>2015</w:t>
      </w:r>
      <w:r>
        <w:rPr>
          <w:rFonts w:cs="Arial" w:hint="eastAsia"/>
          <w:color w:val="000000"/>
          <w:sz w:val="20"/>
          <w:szCs w:val="20"/>
        </w:rPr>
        <w:t>年相比，公务用车购置费及运行费分别增加</w:t>
      </w:r>
      <w:r>
        <w:rPr>
          <w:rFonts w:ascii="Arial" w:hAnsi="Arial" w:cs="Arial"/>
          <w:color w:val="000000"/>
          <w:sz w:val="20"/>
          <w:szCs w:val="20"/>
        </w:rPr>
        <w:t>0 %</w:t>
      </w:r>
      <w:r>
        <w:rPr>
          <w:rFonts w:cs="Arial" w:hint="eastAsia"/>
          <w:color w:val="000000"/>
          <w:sz w:val="20"/>
          <w:szCs w:val="20"/>
        </w:rPr>
        <w:t>和</w:t>
      </w:r>
      <w:r>
        <w:rPr>
          <w:rFonts w:ascii="Arial" w:hAnsi="Arial" w:cs="Arial"/>
          <w:color w:val="000000"/>
          <w:sz w:val="20"/>
          <w:szCs w:val="20"/>
        </w:rPr>
        <w:t>28.3%</w:t>
      </w:r>
      <w:r>
        <w:rPr>
          <w:rFonts w:cs="Arial" w:hint="eastAsia"/>
          <w:color w:val="000000"/>
          <w:sz w:val="20"/>
          <w:szCs w:val="20"/>
        </w:rPr>
        <w:t>，主要是</w:t>
      </w:r>
      <w:r>
        <w:rPr>
          <w:rFonts w:ascii="Arial" w:hAnsi="Arial" w:cs="Arial"/>
          <w:color w:val="000000"/>
          <w:sz w:val="20"/>
          <w:szCs w:val="20"/>
        </w:rPr>
        <w:t>:1</w:t>
      </w:r>
      <w:r>
        <w:rPr>
          <w:rFonts w:cs="Arial" w:hint="eastAsia"/>
          <w:color w:val="000000"/>
          <w:sz w:val="20"/>
          <w:szCs w:val="20"/>
        </w:rPr>
        <w:t>、由于</w:t>
      </w:r>
      <w:r>
        <w:rPr>
          <w:rFonts w:ascii="Arial" w:hAnsi="Arial" w:cs="Arial"/>
          <w:color w:val="000000"/>
          <w:sz w:val="20"/>
          <w:szCs w:val="20"/>
        </w:rPr>
        <w:t> </w:t>
      </w:r>
      <w:r>
        <w:rPr>
          <w:rFonts w:cs="Arial" w:hint="eastAsia"/>
          <w:color w:val="000000"/>
          <w:sz w:val="20"/>
          <w:szCs w:val="20"/>
        </w:rPr>
        <w:t>我院车辆使用年限较长，损耗较大，运行维护成本较高；</w:t>
      </w:r>
      <w:r>
        <w:rPr>
          <w:rFonts w:ascii="Arial" w:hAnsi="Arial" w:cs="Arial"/>
          <w:color w:val="000000"/>
          <w:sz w:val="20"/>
          <w:szCs w:val="20"/>
        </w:rPr>
        <w:t>2</w:t>
      </w:r>
      <w:r>
        <w:rPr>
          <w:rFonts w:cs="Arial" w:hint="eastAsia"/>
          <w:color w:val="000000"/>
          <w:sz w:val="20"/>
          <w:szCs w:val="20"/>
        </w:rPr>
        <w:t>、公务用车运行费</w:t>
      </w:r>
      <w:r>
        <w:rPr>
          <w:rFonts w:ascii="Arial" w:hAnsi="Arial" w:cs="Arial"/>
          <w:color w:val="000000"/>
          <w:sz w:val="20"/>
          <w:szCs w:val="20"/>
        </w:rPr>
        <w:t>2016</w:t>
      </w:r>
      <w:r>
        <w:rPr>
          <w:rFonts w:cs="Arial" w:hint="eastAsia"/>
          <w:color w:val="000000"/>
          <w:sz w:val="20"/>
          <w:szCs w:val="20"/>
        </w:rPr>
        <w:t>年</w:t>
      </w:r>
      <w:r>
        <w:rPr>
          <w:rFonts w:ascii="Arial" w:hAnsi="Arial" w:cs="Arial"/>
          <w:color w:val="000000"/>
          <w:sz w:val="20"/>
          <w:szCs w:val="20"/>
        </w:rPr>
        <w:t>5</w:t>
      </w:r>
      <w:r>
        <w:rPr>
          <w:rFonts w:cs="Arial" w:hint="eastAsia"/>
          <w:color w:val="000000"/>
          <w:sz w:val="20"/>
          <w:szCs w:val="20"/>
        </w:rPr>
        <w:t>月结算了</w:t>
      </w:r>
      <w:r>
        <w:rPr>
          <w:rFonts w:ascii="Arial" w:hAnsi="Arial" w:cs="Arial"/>
          <w:color w:val="000000"/>
          <w:sz w:val="20"/>
          <w:szCs w:val="20"/>
        </w:rPr>
        <w:t> 2014.12.25-2015.12.31</w:t>
      </w:r>
      <w:r>
        <w:rPr>
          <w:rFonts w:cs="Arial" w:hint="eastAsia"/>
          <w:color w:val="000000"/>
          <w:sz w:val="20"/>
          <w:szCs w:val="20"/>
        </w:rPr>
        <w:t>期间的车辆维修费</w:t>
      </w:r>
      <w:r>
        <w:rPr>
          <w:rFonts w:ascii="Arial" w:hAnsi="Arial" w:cs="Arial"/>
          <w:color w:val="000000"/>
          <w:sz w:val="20"/>
          <w:szCs w:val="20"/>
        </w:rPr>
        <w:t>4</w:t>
      </w:r>
      <w:r>
        <w:rPr>
          <w:rFonts w:cs="Arial" w:hint="eastAsia"/>
          <w:color w:val="000000"/>
          <w:sz w:val="20"/>
          <w:szCs w:val="20"/>
        </w:rPr>
        <w:t>万元，</w:t>
      </w:r>
      <w:r>
        <w:rPr>
          <w:rFonts w:ascii="Arial" w:hAnsi="Arial" w:cs="Arial"/>
          <w:color w:val="000000"/>
          <w:sz w:val="20"/>
          <w:szCs w:val="20"/>
        </w:rPr>
        <w:t>2015</w:t>
      </w:r>
      <w:r>
        <w:rPr>
          <w:rFonts w:cs="Arial" w:hint="eastAsia"/>
          <w:color w:val="000000"/>
          <w:sz w:val="20"/>
          <w:szCs w:val="20"/>
        </w:rPr>
        <w:t>年列支的车辆运行费为</w:t>
      </w:r>
      <w:r>
        <w:rPr>
          <w:rFonts w:ascii="Arial" w:hAnsi="Arial" w:cs="Arial"/>
          <w:color w:val="000000"/>
          <w:sz w:val="20"/>
          <w:szCs w:val="20"/>
        </w:rPr>
        <w:t>26.68</w:t>
      </w:r>
      <w:r>
        <w:rPr>
          <w:rFonts w:cs="Arial" w:hint="eastAsia"/>
          <w:color w:val="000000"/>
          <w:sz w:val="20"/>
          <w:szCs w:val="20"/>
        </w:rPr>
        <w:t>万元，加上本该属于该期间但于</w:t>
      </w:r>
      <w:r>
        <w:rPr>
          <w:rFonts w:ascii="Arial" w:hAnsi="Arial" w:cs="Arial"/>
          <w:color w:val="000000"/>
          <w:sz w:val="20"/>
          <w:szCs w:val="20"/>
        </w:rPr>
        <w:t>2016</w:t>
      </w:r>
      <w:r>
        <w:rPr>
          <w:rFonts w:cs="Arial" w:hint="eastAsia"/>
          <w:color w:val="000000"/>
          <w:sz w:val="20"/>
          <w:szCs w:val="20"/>
        </w:rPr>
        <w:t>年结算的维修费</w:t>
      </w:r>
      <w:r>
        <w:rPr>
          <w:rFonts w:ascii="Arial" w:hAnsi="Arial" w:cs="Arial"/>
          <w:color w:val="000000"/>
          <w:sz w:val="20"/>
          <w:szCs w:val="20"/>
        </w:rPr>
        <w:t>4</w:t>
      </w:r>
      <w:r>
        <w:rPr>
          <w:rFonts w:cs="Arial" w:hint="eastAsia"/>
          <w:color w:val="000000"/>
          <w:sz w:val="20"/>
          <w:szCs w:val="20"/>
        </w:rPr>
        <w:t>万元，应该属于</w:t>
      </w:r>
      <w:r>
        <w:rPr>
          <w:rFonts w:ascii="Arial" w:hAnsi="Arial" w:cs="Arial"/>
          <w:color w:val="000000"/>
          <w:sz w:val="20"/>
          <w:szCs w:val="20"/>
        </w:rPr>
        <w:t>2015</w:t>
      </w:r>
      <w:r>
        <w:rPr>
          <w:rFonts w:cs="Arial" w:hint="eastAsia"/>
          <w:color w:val="000000"/>
          <w:sz w:val="20"/>
          <w:szCs w:val="20"/>
        </w:rPr>
        <w:t>年实际发生的车辆运行费为</w:t>
      </w:r>
      <w:r>
        <w:rPr>
          <w:rFonts w:ascii="Arial" w:hAnsi="Arial" w:cs="Arial"/>
          <w:color w:val="000000"/>
          <w:sz w:val="20"/>
          <w:szCs w:val="20"/>
        </w:rPr>
        <w:t>30.68</w:t>
      </w:r>
      <w:r>
        <w:rPr>
          <w:rFonts w:cs="Arial" w:hint="eastAsia"/>
          <w:color w:val="000000"/>
          <w:sz w:val="20"/>
          <w:szCs w:val="20"/>
        </w:rPr>
        <w:t>万元；</w:t>
      </w:r>
      <w:r>
        <w:rPr>
          <w:rFonts w:ascii="Arial" w:hAnsi="Arial" w:cs="Arial"/>
          <w:color w:val="000000"/>
          <w:sz w:val="20"/>
          <w:szCs w:val="20"/>
        </w:rPr>
        <w:t>2016</w:t>
      </w:r>
      <w:r>
        <w:rPr>
          <w:rFonts w:cs="Arial" w:hint="eastAsia"/>
          <w:color w:val="000000"/>
          <w:sz w:val="20"/>
          <w:szCs w:val="20"/>
        </w:rPr>
        <w:t>年列支车辆运行费</w:t>
      </w:r>
      <w:r>
        <w:rPr>
          <w:rFonts w:ascii="Arial" w:hAnsi="Arial" w:cs="Arial"/>
          <w:color w:val="000000"/>
          <w:sz w:val="20"/>
          <w:szCs w:val="20"/>
        </w:rPr>
        <w:t>34.23</w:t>
      </w:r>
      <w:r>
        <w:rPr>
          <w:rFonts w:cs="Arial" w:hint="eastAsia"/>
          <w:color w:val="000000"/>
          <w:sz w:val="20"/>
          <w:szCs w:val="20"/>
        </w:rPr>
        <w:t>万元，扣除</w:t>
      </w:r>
      <w:r>
        <w:rPr>
          <w:rFonts w:ascii="Arial" w:hAnsi="Arial" w:cs="Arial"/>
          <w:color w:val="000000"/>
          <w:sz w:val="20"/>
          <w:szCs w:val="20"/>
        </w:rPr>
        <w:t>2014.12.25-2015.12.31</w:t>
      </w:r>
      <w:r>
        <w:rPr>
          <w:rFonts w:cs="Arial" w:hint="eastAsia"/>
          <w:color w:val="000000"/>
          <w:sz w:val="20"/>
          <w:szCs w:val="20"/>
        </w:rPr>
        <w:t>期间的车辆维修费</w:t>
      </w:r>
      <w:r>
        <w:rPr>
          <w:rFonts w:ascii="Arial" w:hAnsi="Arial" w:cs="Arial"/>
          <w:color w:val="000000"/>
          <w:sz w:val="20"/>
          <w:szCs w:val="20"/>
        </w:rPr>
        <w:t>4</w:t>
      </w:r>
      <w:r>
        <w:rPr>
          <w:rFonts w:cs="Arial" w:hint="eastAsia"/>
          <w:color w:val="000000"/>
          <w:sz w:val="20"/>
          <w:szCs w:val="20"/>
        </w:rPr>
        <w:t>万元，应该属于</w:t>
      </w:r>
      <w:r>
        <w:rPr>
          <w:rFonts w:ascii="Arial" w:hAnsi="Arial" w:cs="Arial"/>
          <w:color w:val="000000"/>
          <w:sz w:val="20"/>
          <w:szCs w:val="20"/>
        </w:rPr>
        <w:t>2016</w:t>
      </w:r>
      <w:r>
        <w:rPr>
          <w:rFonts w:cs="Arial" w:hint="eastAsia"/>
          <w:color w:val="000000"/>
          <w:sz w:val="20"/>
          <w:szCs w:val="20"/>
        </w:rPr>
        <w:t>年实际发生的车辆运行费为</w:t>
      </w:r>
      <w:r>
        <w:rPr>
          <w:rFonts w:ascii="Arial" w:hAnsi="Arial" w:cs="Arial"/>
          <w:color w:val="000000"/>
          <w:sz w:val="20"/>
          <w:szCs w:val="20"/>
        </w:rPr>
        <w:t>30.23</w:t>
      </w:r>
      <w:r>
        <w:rPr>
          <w:rFonts w:cs="Arial" w:hint="eastAsia"/>
          <w:color w:val="000000"/>
          <w:sz w:val="20"/>
          <w:szCs w:val="20"/>
        </w:rPr>
        <w:t>万元。按实际发生时间来看</w:t>
      </w:r>
      <w:r>
        <w:rPr>
          <w:rFonts w:ascii="Arial" w:hAnsi="Arial" w:cs="Arial"/>
          <w:color w:val="000000"/>
          <w:sz w:val="20"/>
          <w:szCs w:val="20"/>
        </w:rPr>
        <w:t>2016</w:t>
      </w:r>
      <w:r>
        <w:rPr>
          <w:rFonts w:cs="Arial" w:hint="eastAsia"/>
          <w:color w:val="000000"/>
          <w:sz w:val="20"/>
          <w:szCs w:val="20"/>
        </w:rPr>
        <w:t>年的车辆运行费较</w:t>
      </w:r>
      <w:r>
        <w:rPr>
          <w:rFonts w:ascii="Arial" w:hAnsi="Arial" w:cs="Arial"/>
          <w:color w:val="000000"/>
          <w:sz w:val="20"/>
          <w:szCs w:val="20"/>
        </w:rPr>
        <w:t>2015</w:t>
      </w:r>
      <w:r>
        <w:rPr>
          <w:rFonts w:cs="Arial" w:hint="eastAsia"/>
          <w:color w:val="000000"/>
          <w:sz w:val="20"/>
          <w:szCs w:val="20"/>
        </w:rPr>
        <w:t>年减少了</w:t>
      </w:r>
      <w:r>
        <w:rPr>
          <w:rFonts w:ascii="Arial" w:hAnsi="Arial" w:cs="Arial"/>
          <w:color w:val="000000"/>
          <w:sz w:val="20"/>
          <w:szCs w:val="20"/>
        </w:rPr>
        <w:t>0.45</w:t>
      </w:r>
      <w:r>
        <w:rPr>
          <w:rFonts w:cs="Arial" w:hint="eastAsia"/>
          <w:color w:val="000000"/>
          <w:sz w:val="20"/>
          <w:szCs w:val="20"/>
        </w:rPr>
        <w:t>万元，但是按列支时间来看</w:t>
      </w:r>
      <w:r>
        <w:rPr>
          <w:rFonts w:ascii="Arial" w:hAnsi="Arial" w:cs="Arial"/>
          <w:color w:val="000000"/>
          <w:sz w:val="20"/>
          <w:szCs w:val="20"/>
        </w:rPr>
        <w:t>2016</w:t>
      </w:r>
      <w:r>
        <w:rPr>
          <w:rFonts w:cs="Arial" w:hint="eastAsia"/>
          <w:color w:val="000000"/>
          <w:sz w:val="20"/>
          <w:szCs w:val="20"/>
        </w:rPr>
        <w:t>年的车辆运行费较</w:t>
      </w:r>
      <w:r>
        <w:rPr>
          <w:rFonts w:ascii="Arial" w:hAnsi="Arial" w:cs="Arial"/>
          <w:color w:val="000000"/>
          <w:sz w:val="20"/>
          <w:szCs w:val="20"/>
        </w:rPr>
        <w:t>2015</w:t>
      </w:r>
      <w:r>
        <w:rPr>
          <w:rFonts w:cs="Arial" w:hint="eastAsia"/>
          <w:color w:val="000000"/>
          <w:sz w:val="20"/>
          <w:szCs w:val="20"/>
        </w:rPr>
        <w:t>年增加了</w:t>
      </w:r>
      <w:r>
        <w:rPr>
          <w:rFonts w:ascii="Arial" w:hAnsi="Arial" w:cs="Arial"/>
          <w:color w:val="000000"/>
          <w:sz w:val="20"/>
          <w:szCs w:val="20"/>
        </w:rPr>
        <w:t>7.55</w:t>
      </w:r>
      <w:r>
        <w:rPr>
          <w:rFonts w:cs="Arial" w:hint="eastAsia"/>
          <w:color w:val="000000"/>
          <w:sz w:val="20"/>
          <w:szCs w:val="20"/>
        </w:rPr>
        <w:t>万元。</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cs="Arial" w:hint="eastAsia"/>
          <w:color w:val="000000"/>
          <w:sz w:val="20"/>
          <w:szCs w:val="20"/>
        </w:rPr>
        <w:t>（三）公务接待费</w:t>
      </w:r>
      <w:r>
        <w:rPr>
          <w:rFonts w:ascii="Arial" w:hAnsi="Arial" w:cs="Arial"/>
          <w:color w:val="000000"/>
          <w:sz w:val="20"/>
          <w:szCs w:val="20"/>
        </w:rPr>
        <w:t>8.45</w:t>
      </w:r>
      <w:r>
        <w:rPr>
          <w:rFonts w:cs="Arial" w:hint="eastAsia"/>
          <w:color w:val="000000"/>
          <w:sz w:val="20"/>
          <w:szCs w:val="20"/>
        </w:rPr>
        <w:t>万元。主要用于南平中院、其他县市法院业务交流、工作检查等方面的接待活动，累计接待</w:t>
      </w:r>
      <w:r>
        <w:rPr>
          <w:rFonts w:ascii="Arial" w:hAnsi="Arial" w:cs="Arial"/>
          <w:color w:val="000000"/>
          <w:sz w:val="20"/>
          <w:szCs w:val="20"/>
        </w:rPr>
        <w:t>  </w:t>
      </w:r>
      <w:r>
        <w:rPr>
          <w:rFonts w:cs="Arial" w:hint="eastAsia"/>
          <w:color w:val="000000"/>
          <w:sz w:val="20"/>
          <w:szCs w:val="20"/>
        </w:rPr>
        <w:t>批次</w:t>
      </w:r>
      <w:r>
        <w:rPr>
          <w:rFonts w:ascii="Arial" w:hAnsi="Arial" w:cs="Arial"/>
          <w:color w:val="000000"/>
          <w:sz w:val="20"/>
          <w:szCs w:val="20"/>
        </w:rPr>
        <w:t>205</w:t>
      </w:r>
      <w:r>
        <w:rPr>
          <w:rFonts w:cs="Arial" w:hint="eastAsia"/>
          <w:color w:val="000000"/>
          <w:sz w:val="20"/>
          <w:szCs w:val="20"/>
        </w:rPr>
        <w:t>、接待总人数</w:t>
      </w:r>
      <w:r>
        <w:rPr>
          <w:rFonts w:ascii="Arial" w:hAnsi="Arial" w:cs="Arial"/>
          <w:color w:val="000000"/>
          <w:sz w:val="20"/>
          <w:szCs w:val="20"/>
        </w:rPr>
        <w:t>1230</w:t>
      </w:r>
      <w:r>
        <w:rPr>
          <w:rFonts w:cs="Arial" w:hint="eastAsia"/>
          <w:color w:val="000000"/>
          <w:sz w:val="20"/>
          <w:szCs w:val="20"/>
        </w:rPr>
        <w:t>。与</w:t>
      </w:r>
      <w:r>
        <w:rPr>
          <w:rFonts w:ascii="Arial" w:hAnsi="Arial" w:cs="Arial"/>
          <w:color w:val="000000"/>
          <w:sz w:val="20"/>
          <w:szCs w:val="20"/>
        </w:rPr>
        <w:t>2015</w:t>
      </w:r>
      <w:r>
        <w:rPr>
          <w:rFonts w:cs="Arial" w:hint="eastAsia"/>
          <w:color w:val="000000"/>
          <w:sz w:val="20"/>
          <w:szCs w:val="20"/>
        </w:rPr>
        <w:t>年相比</w:t>
      </w:r>
      <w:r>
        <w:rPr>
          <w:rFonts w:ascii="Arial" w:hAnsi="Arial" w:cs="Arial"/>
          <w:color w:val="000000"/>
          <w:sz w:val="20"/>
          <w:szCs w:val="20"/>
        </w:rPr>
        <w:t>, </w:t>
      </w:r>
      <w:r>
        <w:rPr>
          <w:rFonts w:cs="Arial" w:hint="eastAsia"/>
          <w:color w:val="000000"/>
          <w:sz w:val="20"/>
          <w:szCs w:val="20"/>
        </w:rPr>
        <w:t>公务接待费支出下降</w:t>
      </w:r>
      <w:r>
        <w:rPr>
          <w:rFonts w:ascii="Arial" w:hAnsi="Arial" w:cs="Arial"/>
          <w:color w:val="000000"/>
          <w:sz w:val="20"/>
          <w:szCs w:val="20"/>
        </w:rPr>
        <w:t>0.08%</w:t>
      </w:r>
      <w:r>
        <w:rPr>
          <w:rFonts w:cs="Arial" w:hint="eastAsia"/>
          <w:color w:val="000000"/>
          <w:sz w:val="20"/>
          <w:szCs w:val="20"/>
        </w:rPr>
        <w:t>，主要是</w:t>
      </w:r>
      <w:r>
        <w:rPr>
          <w:rFonts w:ascii="Arial" w:hAnsi="Arial" w:cs="Arial"/>
          <w:color w:val="000000"/>
          <w:sz w:val="20"/>
          <w:szCs w:val="20"/>
        </w:rPr>
        <w:t>:</w:t>
      </w:r>
      <w:r>
        <w:rPr>
          <w:rFonts w:cs="Arial" w:hint="eastAsia"/>
          <w:color w:val="000000"/>
          <w:sz w:val="20"/>
          <w:szCs w:val="20"/>
        </w:rPr>
        <w:t>接待人数略微有所下降。</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Style w:val="a3"/>
          <w:rFonts w:cs="Arial" w:hint="eastAsia"/>
          <w:color w:val="000000"/>
          <w:sz w:val="20"/>
          <w:szCs w:val="20"/>
        </w:rPr>
        <w:t>八、机关运行经费支出情况</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ascii="Arial" w:hAnsi="Arial" w:cs="Arial"/>
          <w:color w:val="000000"/>
          <w:sz w:val="20"/>
          <w:szCs w:val="20"/>
        </w:rPr>
        <w:t>2016</w:t>
      </w:r>
      <w:r>
        <w:rPr>
          <w:rFonts w:cs="Arial" w:hint="eastAsia"/>
          <w:color w:val="000000"/>
          <w:sz w:val="20"/>
          <w:szCs w:val="20"/>
        </w:rPr>
        <w:t>年机关运行经费支出</w:t>
      </w:r>
      <w:r>
        <w:rPr>
          <w:rFonts w:ascii="Arial" w:hAnsi="Arial" w:cs="Arial"/>
          <w:color w:val="000000"/>
          <w:sz w:val="20"/>
          <w:szCs w:val="20"/>
        </w:rPr>
        <w:t>436.95</w:t>
      </w:r>
      <w:r>
        <w:rPr>
          <w:rFonts w:cs="Arial" w:hint="eastAsia"/>
          <w:color w:val="000000"/>
          <w:sz w:val="20"/>
          <w:szCs w:val="20"/>
        </w:rPr>
        <w:t>万元，比</w:t>
      </w:r>
      <w:r>
        <w:rPr>
          <w:rFonts w:ascii="Arial" w:hAnsi="Arial" w:cs="Arial"/>
          <w:color w:val="000000"/>
          <w:sz w:val="20"/>
          <w:szCs w:val="20"/>
        </w:rPr>
        <w:t>2015</w:t>
      </w:r>
      <w:r>
        <w:rPr>
          <w:rFonts w:cs="Arial" w:hint="eastAsia"/>
          <w:color w:val="000000"/>
          <w:sz w:val="20"/>
          <w:szCs w:val="20"/>
        </w:rPr>
        <w:t>年下降</w:t>
      </w:r>
      <w:r>
        <w:rPr>
          <w:rFonts w:ascii="Arial" w:hAnsi="Arial" w:cs="Arial"/>
          <w:color w:val="000000"/>
          <w:sz w:val="20"/>
          <w:szCs w:val="20"/>
        </w:rPr>
        <w:t>0.02%</w:t>
      </w:r>
      <w:r>
        <w:rPr>
          <w:rFonts w:cs="Arial" w:hint="eastAsia"/>
          <w:color w:val="000000"/>
          <w:sz w:val="20"/>
          <w:szCs w:val="20"/>
        </w:rPr>
        <w:t>，主要是</w:t>
      </w:r>
      <w:r>
        <w:rPr>
          <w:rFonts w:ascii="Arial" w:hAnsi="Arial" w:cs="Arial"/>
          <w:color w:val="000000"/>
          <w:sz w:val="20"/>
          <w:szCs w:val="20"/>
        </w:rPr>
        <w:t>:2016</w:t>
      </w:r>
      <w:r>
        <w:rPr>
          <w:rFonts w:cs="Arial" w:hint="eastAsia"/>
          <w:color w:val="000000"/>
          <w:sz w:val="20"/>
          <w:szCs w:val="20"/>
        </w:rPr>
        <w:t>年较</w:t>
      </w:r>
      <w:r>
        <w:rPr>
          <w:rFonts w:ascii="Arial" w:hAnsi="Arial" w:cs="Arial"/>
          <w:color w:val="000000"/>
          <w:sz w:val="20"/>
          <w:szCs w:val="20"/>
        </w:rPr>
        <w:t>2015</w:t>
      </w:r>
      <w:r>
        <w:rPr>
          <w:rFonts w:cs="Arial" w:hint="eastAsia"/>
          <w:color w:val="000000"/>
          <w:sz w:val="20"/>
          <w:szCs w:val="20"/>
        </w:rPr>
        <w:t>年机关运行经费基本持平。</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Style w:val="a3"/>
          <w:rFonts w:cs="Arial" w:hint="eastAsia"/>
          <w:color w:val="000000"/>
          <w:sz w:val="20"/>
          <w:szCs w:val="20"/>
        </w:rPr>
        <w:t>九、项目绩效自评报告</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cs="Arial" w:hint="eastAsia"/>
          <w:color w:val="000000"/>
          <w:sz w:val="20"/>
          <w:szCs w:val="20"/>
        </w:rPr>
        <w:t>按照《关于做好</w:t>
      </w:r>
      <w:r>
        <w:rPr>
          <w:rFonts w:ascii="Arial" w:hAnsi="Arial" w:cs="Arial"/>
          <w:color w:val="000000"/>
          <w:sz w:val="20"/>
          <w:szCs w:val="20"/>
        </w:rPr>
        <w:t>2017</w:t>
      </w:r>
      <w:r>
        <w:rPr>
          <w:rFonts w:cs="Arial" w:hint="eastAsia"/>
          <w:color w:val="000000"/>
          <w:sz w:val="20"/>
          <w:szCs w:val="20"/>
        </w:rPr>
        <w:t>年预算绩效信息公开工作的通知》</w:t>
      </w:r>
      <w:r>
        <w:rPr>
          <w:rFonts w:ascii="Arial" w:hAnsi="Arial" w:cs="Arial"/>
          <w:color w:val="000000"/>
          <w:sz w:val="20"/>
          <w:szCs w:val="20"/>
        </w:rPr>
        <w:t>(</w:t>
      </w:r>
      <w:r>
        <w:rPr>
          <w:rFonts w:cs="Arial" w:hint="eastAsia"/>
          <w:color w:val="000000"/>
          <w:sz w:val="20"/>
          <w:szCs w:val="20"/>
        </w:rPr>
        <w:t>闽财绩函〔</w:t>
      </w:r>
      <w:r>
        <w:rPr>
          <w:rFonts w:ascii="Arial" w:hAnsi="Arial" w:cs="Arial"/>
          <w:color w:val="000000"/>
          <w:sz w:val="20"/>
          <w:szCs w:val="20"/>
        </w:rPr>
        <w:t>2017</w:t>
      </w:r>
      <w:r>
        <w:rPr>
          <w:rFonts w:cs="Arial" w:hint="eastAsia"/>
          <w:color w:val="000000"/>
          <w:sz w:val="20"/>
          <w:szCs w:val="20"/>
        </w:rPr>
        <w:t>〕</w:t>
      </w:r>
      <w:r>
        <w:rPr>
          <w:rFonts w:ascii="Arial" w:hAnsi="Arial" w:cs="Arial"/>
          <w:color w:val="000000"/>
          <w:sz w:val="20"/>
          <w:szCs w:val="20"/>
        </w:rPr>
        <w:t>5</w:t>
      </w:r>
      <w:r>
        <w:rPr>
          <w:rFonts w:cs="Arial" w:hint="eastAsia"/>
          <w:color w:val="000000"/>
          <w:sz w:val="20"/>
          <w:szCs w:val="20"/>
        </w:rPr>
        <w:t>号</w:t>
      </w:r>
      <w:r>
        <w:rPr>
          <w:rFonts w:ascii="Arial" w:hAnsi="Arial" w:cs="Arial"/>
          <w:color w:val="000000"/>
          <w:sz w:val="20"/>
          <w:szCs w:val="20"/>
        </w:rPr>
        <w:t>)</w:t>
      </w:r>
      <w:r>
        <w:rPr>
          <w:rFonts w:cs="Arial" w:hint="eastAsia"/>
          <w:color w:val="000000"/>
          <w:sz w:val="20"/>
          <w:szCs w:val="20"/>
        </w:rPr>
        <w:t>要求，公开项目概况、评价过程及绩效分析、存在问题和有关建议。</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Style w:val="a3"/>
          <w:rFonts w:cs="Arial" w:hint="eastAsia"/>
          <w:color w:val="000000"/>
          <w:sz w:val="20"/>
          <w:szCs w:val="20"/>
        </w:rPr>
        <w:t>十、政府采购支出情况</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cs="Arial" w:hint="eastAsia"/>
          <w:color w:val="000000"/>
          <w:sz w:val="20"/>
          <w:szCs w:val="20"/>
        </w:rPr>
        <w:t>本部门</w:t>
      </w:r>
      <w:r>
        <w:rPr>
          <w:rFonts w:ascii="Arial" w:hAnsi="Arial" w:cs="Arial"/>
          <w:color w:val="000000"/>
          <w:sz w:val="20"/>
          <w:szCs w:val="20"/>
        </w:rPr>
        <w:t>2016</w:t>
      </w:r>
      <w:r>
        <w:rPr>
          <w:rFonts w:cs="Arial" w:hint="eastAsia"/>
          <w:color w:val="000000"/>
          <w:sz w:val="20"/>
          <w:szCs w:val="20"/>
        </w:rPr>
        <w:t>年度政府采购支出总额</w:t>
      </w:r>
      <w:r>
        <w:rPr>
          <w:rFonts w:ascii="Arial" w:hAnsi="Arial" w:cs="Arial"/>
          <w:color w:val="000000"/>
          <w:sz w:val="20"/>
          <w:szCs w:val="20"/>
        </w:rPr>
        <w:t>172.17</w:t>
      </w:r>
      <w:r>
        <w:rPr>
          <w:rFonts w:cs="Arial" w:hint="eastAsia"/>
          <w:color w:val="000000"/>
          <w:sz w:val="20"/>
          <w:szCs w:val="20"/>
        </w:rPr>
        <w:t>万元，其中：政府采购货物支出</w:t>
      </w:r>
      <w:r>
        <w:rPr>
          <w:rFonts w:ascii="Arial" w:hAnsi="Arial" w:cs="Arial"/>
          <w:color w:val="000000"/>
          <w:sz w:val="20"/>
          <w:szCs w:val="20"/>
        </w:rPr>
        <w:t>172.17</w:t>
      </w:r>
      <w:r>
        <w:rPr>
          <w:rFonts w:cs="Arial" w:hint="eastAsia"/>
          <w:color w:val="000000"/>
          <w:sz w:val="20"/>
          <w:szCs w:val="20"/>
        </w:rPr>
        <w:t>万元、政府采购工程支出</w:t>
      </w:r>
      <w:r>
        <w:rPr>
          <w:rFonts w:ascii="Arial" w:hAnsi="Arial" w:cs="Arial"/>
          <w:color w:val="000000"/>
          <w:sz w:val="20"/>
          <w:szCs w:val="20"/>
        </w:rPr>
        <w:t>0</w:t>
      </w:r>
      <w:r>
        <w:rPr>
          <w:rFonts w:cs="Arial" w:hint="eastAsia"/>
          <w:color w:val="000000"/>
          <w:sz w:val="20"/>
          <w:szCs w:val="20"/>
        </w:rPr>
        <w:t>万元、政府采购服务支出</w:t>
      </w:r>
      <w:r>
        <w:rPr>
          <w:rFonts w:ascii="Arial" w:hAnsi="Arial" w:cs="Arial"/>
          <w:color w:val="000000"/>
          <w:sz w:val="20"/>
          <w:szCs w:val="20"/>
        </w:rPr>
        <w:t>0</w:t>
      </w:r>
      <w:r>
        <w:rPr>
          <w:rFonts w:cs="Arial" w:hint="eastAsia"/>
          <w:color w:val="000000"/>
          <w:sz w:val="20"/>
          <w:szCs w:val="20"/>
        </w:rPr>
        <w:t>万元。</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Style w:val="a3"/>
          <w:rFonts w:cs="Arial" w:hint="eastAsia"/>
          <w:color w:val="000000"/>
          <w:sz w:val="20"/>
          <w:szCs w:val="20"/>
        </w:rPr>
        <w:t>十一、名词解释</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cs="Arial" w:hint="eastAsia"/>
          <w:color w:val="000000"/>
          <w:sz w:val="20"/>
          <w:szCs w:val="20"/>
        </w:rPr>
        <w:t>（一）财政拨款收入：指省级财政当年拨付的资金。</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cs="Arial" w:hint="eastAsia"/>
          <w:color w:val="000000"/>
          <w:sz w:val="20"/>
          <w:szCs w:val="20"/>
        </w:rPr>
        <w:t>（二）事业收入：指事业单位开展专业业务活动及辅助活动所取得的收入。</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cs="Arial" w:hint="eastAsia"/>
          <w:color w:val="000000"/>
          <w:sz w:val="20"/>
          <w:szCs w:val="20"/>
        </w:rPr>
        <w:t>（三）经营收入：指事业单位在专业业务活动及其辅助活动之外开展非独立核算经营活动取得的收入。</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cs="Arial" w:hint="eastAsia"/>
          <w:color w:val="000000"/>
          <w:sz w:val="20"/>
          <w:szCs w:val="20"/>
        </w:rPr>
        <w:t>（四）其他收入：指除上述“财政拨款收入”、“事业收入”、“经营收入”等以外的收入。主要是按规定动用的售房收入、存款利息收入等。</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cs="Arial" w:hint="eastAsia"/>
          <w:color w:val="000000"/>
          <w:sz w:val="20"/>
          <w:szCs w:val="20"/>
        </w:rPr>
        <w:t>（五）用事业基金弥补收支差额：指事业单位在当年的“财政拨款收入”、“事业收入”、“经营收入”、“其他收入”不足以安排当年支出的情况下，使用以前年度积累的事业基金（事业单位当年收支相抵后按国家规定提取、用于弥补以后年度收支差额的基金）弥补本年度收支缺口的资金。</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cs="Arial" w:hint="eastAsia"/>
          <w:color w:val="000000"/>
          <w:sz w:val="20"/>
          <w:szCs w:val="20"/>
        </w:rPr>
        <w:t>（六）年初结转和结余：指以前年度尚未完成、结转到本年</w:t>
      </w:r>
      <w:r>
        <w:rPr>
          <w:rFonts w:ascii="Arial" w:hAnsi="Arial" w:cs="Arial"/>
          <w:color w:val="000000"/>
          <w:sz w:val="20"/>
          <w:szCs w:val="20"/>
        </w:rPr>
        <w:t> </w:t>
      </w:r>
      <w:r>
        <w:rPr>
          <w:rFonts w:cs="Arial" w:hint="eastAsia"/>
          <w:color w:val="000000"/>
          <w:sz w:val="20"/>
          <w:szCs w:val="20"/>
        </w:rPr>
        <w:t>按有关规定继续使用的资金。</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cs="Arial" w:hint="eastAsia"/>
          <w:color w:val="000000"/>
          <w:sz w:val="20"/>
          <w:szCs w:val="20"/>
        </w:rPr>
        <w:t>（七）结余分配：指事业单位按规定提取的职工福利基金、事业基金和缴纳的所得税，以及建设单位按规定应交回的基本建设竣工项目结余资金。</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cs="Arial" w:hint="eastAsia"/>
          <w:color w:val="000000"/>
          <w:sz w:val="20"/>
          <w:szCs w:val="20"/>
        </w:rPr>
        <w:t>（八）年末结转和结余：指本年度或以前年度预算安排、因客观条件发生变化无法按原计划实施，需延迟到以后年度按有关规定继续使用的资金。</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cs="Arial" w:hint="eastAsia"/>
          <w:color w:val="000000"/>
          <w:sz w:val="20"/>
          <w:szCs w:val="20"/>
        </w:rPr>
        <w:t>（九）基本支出：指为保障机构正常运转、完成日常工作任务而发生的人员支出和公用支出。</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cs="Arial" w:hint="eastAsia"/>
          <w:color w:val="000000"/>
          <w:sz w:val="20"/>
          <w:szCs w:val="20"/>
        </w:rPr>
        <w:t>（十）项目支出：指在基本支出之外为完成特定行政任务和事业发展目标所发生的支出。</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cs="Arial" w:hint="eastAsia"/>
          <w:color w:val="000000"/>
          <w:sz w:val="20"/>
          <w:szCs w:val="20"/>
        </w:rPr>
        <w:lastRenderedPageBreak/>
        <w:t>（十一）经营支出：指事业单位在专业业务活动及其辅助活动之外开展非独立核算经营活动发生的支出。</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cs="Arial" w:hint="eastAsia"/>
          <w:color w:val="000000"/>
          <w:sz w:val="20"/>
          <w:szCs w:val="20"/>
        </w:rPr>
        <w:t>（十二）“三公”经费：纳入省级财政预决算管理的“三公”经费，是指省级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安全奖励费用等支出；公务接待费反映单位按规定开支的各类公务接待（含外宾接待）支出。</w:t>
      </w:r>
    </w:p>
    <w:p w:rsidR="00881AEA" w:rsidRDefault="00881AEA" w:rsidP="00881AEA">
      <w:pPr>
        <w:pStyle w:val="a5"/>
        <w:shd w:val="clear" w:color="auto" w:fill="FFFFFF"/>
        <w:spacing w:before="0" w:beforeAutospacing="0" w:after="0" w:afterAutospacing="0"/>
        <w:ind w:firstLine="420"/>
        <w:rPr>
          <w:rFonts w:ascii="Arial" w:hAnsi="Arial" w:cs="Arial"/>
          <w:color w:val="000000"/>
          <w:sz w:val="20"/>
          <w:szCs w:val="20"/>
        </w:rPr>
      </w:pPr>
      <w:r>
        <w:rPr>
          <w:rFonts w:cs="Arial" w:hint="eastAsia"/>
          <w:color w:val="000000"/>
          <w:sz w:val="20"/>
          <w:szCs w:val="20"/>
        </w:rPr>
        <w:t>（十三）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rsidR="00881AEA" w:rsidRDefault="00881AEA" w:rsidP="00881AEA">
      <w:pPr>
        <w:pStyle w:val="a5"/>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881AEA" w:rsidRDefault="00881AEA" w:rsidP="00881AEA">
      <w:pPr>
        <w:pStyle w:val="a5"/>
        <w:shd w:val="clear" w:color="auto" w:fill="FFFFFF"/>
        <w:spacing w:before="0" w:beforeAutospacing="0" w:after="0" w:afterAutospacing="0"/>
        <w:rPr>
          <w:rFonts w:ascii="Arial" w:hAnsi="Arial" w:cs="Arial"/>
          <w:color w:val="000000"/>
          <w:sz w:val="20"/>
          <w:szCs w:val="20"/>
        </w:rPr>
      </w:pPr>
      <w:r>
        <w:rPr>
          <w:rStyle w:val="a3"/>
          <w:rFonts w:cs="Arial" w:hint="eastAsia"/>
          <w:color w:val="000000"/>
          <w:sz w:val="20"/>
          <w:szCs w:val="20"/>
        </w:rPr>
        <w:t>附件：</w:t>
      </w:r>
    </w:p>
    <w:p w:rsidR="00881AEA" w:rsidRDefault="00881AEA" w:rsidP="00881AEA">
      <w:pPr>
        <w:pStyle w:val="a5"/>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1.</w:t>
      </w:r>
      <w:r>
        <w:rPr>
          <w:rFonts w:cs="Arial" w:hint="eastAsia"/>
          <w:color w:val="000000"/>
          <w:sz w:val="20"/>
          <w:szCs w:val="20"/>
        </w:rPr>
        <w:t>收支决算总表</w:t>
      </w:r>
    </w:p>
    <w:p w:rsidR="00881AEA" w:rsidRDefault="00881AEA" w:rsidP="00881AEA">
      <w:pPr>
        <w:pStyle w:val="a5"/>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2.</w:t>
      </w:r>
      <w:r>
        <w:rPr>
          <w:rFonts w:cs="Arial" w:hint="eastAsia"/>
          <w:color w:val="000000"/>
          <w:sz w:val="20"/>
          <w:szCs w:val="20"/>
        </w:rPr>
        <w:t>收入决算表</w:t>
      </w:r>
    </w:p>
    <w:p w:rsidR="00881AEA" w:rsidRDefault="00881AEA" w:rsidP="00881AEA">
      <w:pPr>
        <w:pStyle w:val="a5"/>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3.</w:t>
      </w:r>
      <w:r>
        <w:rPr>
          <w:rFonts w:cs="Arial" w:hint="eastAsia"/>
          <w:color w:val="000000"/>
          <w:sz w:val="20"/>
          <w:szCs w:val="20"/>
        </w:rPr>
        <w:t>支出决算表</w:t>
      </w:r>
    </w:p>
    <w:p w:rsidR="00881AEA" w:rsidRDefault="00881AEA" w:rsidP="00881AEA">
      <w:pPr>
        <w:pStyle w:val="a5"/>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4. </w:t>
      </w:r>
      <w:r>
        <w:rPr>
          <w:rFonts w:cs="Arial" w:hint="eastAsia"/>
          <w:color w:val="000000"/>
          <w:sz w:val="20"/>
          <w:szCs w:val="20"/>
        </w:rPr>
        <w:t>财政拨款收入支出决算总表</w:t>
      </w:r>
    </w:p>
    <w:p w:rsidR="00881AEA" w:rsidRDefault="00881AEA" w:rsidP="00881AEA">
      <w:pPr>
        <w:pStyle w:val="a5"/>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5.</w:t>
      </w:r>
      <w:r>
        <w:rPr>
          <w:rFonts w:cs="Arial" w:hint="eastAsia"/>
          <w:color w:val="000000"/>
          <w:sz w:val="20"/>
          <w:szCs w:val="20"/>
        </w:rPr>
        <w:t>公共财政拨款支出决算表</w:t>
      </w:r>
    </w:p>
    <w:p w:rsidR="00881AEA" w:rsidRDefault="00881AEA" w:rsidP="00881AEA">
      <w:pPr>
        <w:pStyle w:val="a5"/>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6.</w:t>
      </w:r>
      <w:r>
        <w:rPr>
          <w:rFonts w:cs="Arial" w:hint="eastAsia"/>
          <w:color w:val="000000"/>
          <w:sz w:val="20"/>
          <w:szCs w:val="20"/>
        </w:rPr>
        <w:t>一般公共预算财政拨款支出决算明细表</w:t>
      </w:r>
    </w:p>
    <w:p w:rsidR="00881AEA" w:rsidRDefault="00881AEA" w:rsidP="00881AEA">
      <w:pPr>
        <w:pStyle w:val="a5"/>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7.</w:t>
      </w:r>
      <w:r>
        <w:rPr>
          <w:rFonts w:cs="Arial" w:hint="eastAsia"/>
          <w:color w:val="000000"/>
          <w:sz w:val="20"/>
          <w:szCs w:val="20"/>
        </w:rPr>
        <w:t>一般公共预算财政拨款基本支出决算表</w:t>
      </w:r>
    </w:p>
    <w:p w:rsidR="00881AEA" w:rsidRDefault="00881AEA" w:rsidP="00881AEA">
      <w:pPr>
        <w:pStyle w:val="a5"/>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8.</w:t>
      </w:r>
      <w:r>
        <w:rPr>
          <w:rFonts w:cs="Arial" w:hint="eastAsia"/>
          <w:color w:val="000000"/>
          <w:sz w:val="20"/>
          <w:szCs w:val="20"/>
        </w:rPr>
        <w:t>政府性基金预算财政拨款收入支出决算表</w:t>
      </w:r>
    </w:p>
    <w:p w:rsidR="00881AEA" w:rsidRDefault="00881AEA" w:rsidP="00881AEA">
      <w:pPr>
        <w:pStyle w:val="a5"/>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9.</w:t>
      </w:r>
      <w:r>
        <w:rPr>
          <w:rFonts w:cs="Arial" w:hint="eastAsia"/>
          <w:color w:val="000000"/>
          <w:sz w:val="20"/>
          <w:szCs w:val="20"/>
        </w:rPr>
        <w:t>部门决算相关信息统计表</w:t>
      </w:r>
    </w:p>
    <w:p w:rsidR="00881AEA" w:rsidRDefault="00881AEA" w:rsidP="00881AEA">
      <w:pPr>
        <w:pStyle w:val="a5"/>
        <w:shd w:val="clear" w:color="auto" w:fill="FFFFFF"/>
        <w:spacing w:before="0" w:beforeAutospacing="0" w:after="0" w:afterAutospacing="0"/>
        <w:rPr>
          <w:rFonts w:cs="Arial" w:hint="eastAsia"/>
          <w:color w:val="000000"/>
          <w:sz w:val="20"/>
          <w:szCs w:val="20"/>
        </w:rPr>
      </w:pPr>
      <w:r>
        <w:rPr>
          <w:rFonts w:ascii="Arial" w:hAnsi="Arial" w:cs="Arial"/>
          <w:color w:val="000000"/>
          <w:sz w:val="20"/>
          <w:szCs w:val="20"/>
        </w:rPr>
        <w:t>10. </w:t>
      </w:r>
      <w:r>
        <w:rPr>
          <w:rFonts w:cs="Arial" w:hint="eastAsia"/>
          <w:color w:val="000000"/>
          <w:sz w:val="20"/>
          <w:szCs w:val="20"/>
        </w:rPr>
        <w:t>政府采购情况表</w:t>
      </w:r>
    </w:p>
    <w:p w:rsidR="00881AEA" w:rsidRDefault="00881AEA" w:rsidP="00881AEA">
      <w:pPr>
        <w:pStyle w:val="a5"/>
        <w:shd w:val="clear" w:color="auto" w:fill="FFFFFF"/>
        <w:spacing w:before="0" w:beforeAutospacing="0" w:after="0" w:afterAutospacing="0"/>
        <w:rPr>
          <w:rFonts w:cs="Arial" w:hint="eastAsia"/>
          <w:color w:val="000000"/>
          <w:sz w:val="20"/>
          <w:szCs w:val="20"/>
        </w:rPr>
      </w:pPr>
    </w:p>
    <w:p w:rsidR="00881AEA" w:rsidRDefault="00881AEA" w:rsidP="00881AEA">
      <w:pPr>
        <w:pStyle w:val="a5"/>
        <w:shd w:val="clear" w:color="auto" w:fill="FFFFFF"/>
        <w:spacing w:before="0" w:beforeAutospacing="0" w:after="0" w:afterAutospacing="0"/>
        <w:rPr>
          <w:rFonts w:ascii="Arial" w:hAnsi="Arial" w:cs="Arial" w:hint="eastAsia"/>
          <w:color w:val="000000"/>
          <w:sz w:val="20"/>
          <w:szCs w:val="20"/>
        </w:rPr>
      </w:pPr>
      <w:r>
        <w:rPr>
          <w:rFonts w:ascii="Arial" w:hAnsi="Arial" w:cs="Arial"/>
          <w:noProof/>
          <w:color w:val="000000"/>
          <w:sz w:val="20"/>
          <w:szCs w:val="20"/>
        </w:rPr>
        <w:lastRenderedPageBreak/>
        <w:drawing>
          <wp:inline distT="0" distB="0" distL="0" distR="0">
            <wp:extent cx="5274310" cy="7112000"/>
            <wp:effectExtent l="19050" t="0" r="2540" b="0"/>
            <wp:docPr id="17" name="图片 1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cstate="print"/>
                    <a:stretch>
                      <a:fillRect/>
                    </a:stretch>
                  </pic:blipFill>
                  <pic:spPr>
                    <a:xfrm>
                      <a:off x="0" y="0"/>
                      <a:ext cx="5274310" cy="7112000"/>
                    </a:xfrm>
                    <a:prstGeom prst="rect">
                      <a:avLst/>
                    </a:prstGeom>
                  </pic:spPr>
                </pic:pic>
              </a:graphicData>
            </a:graphic>
          </wp:inline>
        </w:drawing>
      </w:r>
    </w:p>
    <w:p w:rsidR="00881AEA" w:rsidRDefault="00881AEA" w:rsidP="00881AEA">
      <w:pPr>
        <w:pStyle w:val="a5"/>
        <w:shd w:val="clear" w:color="auto" w:fill="FFFFFF"/>
        <w:spacing w:before="0" w:beforeAutospacing="0" w:after="0" w:afterAutospacing="0"/>
        <w:rPr>
          <w:rFonts w:ascii="Arial" w:hAnsi="Arial" w:cs="Arial" w:hint="eastAsia"/>
          <w:color w:val="000000"/>
          <w:sz w:val="20"/>
          <w:szCs w:val="20"/>
        </w:rPr>
      </w:pPr>
    </w:p>
    <w:p w:rsidR="00881AEA" w:rsidRDefault="00881AEA" w:rsidP="00881AEA">
      <w:pPr>
        <w:pStyle w:val="a5"/>
        <w:shd w:val="clear" w:color="auto" w:fill="FFFFFF"/>
        <w:spacing w:before="0" w:beforeAutospacing="0" w:after="0" w:afterAutospacing="0"/>
        <w:rPr>
          <w:rFonts w:ascii="Arial" w:hAnsi="Arial" w:cs="Arial" w:hint="eastAsia"/>
          <w:color w:val="000000"/>
          <w:sz w:val="20"/>
          <w:szCs w:val="20"/>
        </w:rPr>
      </w:pPr>
      <w:r>
        <w:rPr>
          <w:rFonts w:ascii="Arial" w:hAnsi="Arial" w:cs="Arial"/>
          <w:noProof/>
          <w:color w:val="000000"/>
          <w:sz w:val="20"/>
          <w:szCs w:val="20"/>
        </w:rPr>
        <w:lastRenderedPageBreak/>
        <w:drawing>
          <wp:inline distT="0" distB="0" distL="0" distR="0">
            <wp:extent cx="5274310" cy="1864360"/>
            <wp:effectExtent l="19050" t="0" r="2540" b="0"/>
            <wp:docPr id="18" name="图片 17"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 cstate="print"/>
                    <a:stretch>
                      <a:fillRect/>
                    </a:stretch>
                  </pic:blipFill>
                  <pic:spPr>
                    <a:xfrm>
                      <a:off x="0" y="0"/>
                      <a:ext cx="5274310" cy="1864360"/>
                    </a:xfrm>
                    <a:prstGeom prst="rect">
                      <a:avLst/>
                    </a:prstGeom>
                  </pic:spPr>
                </pic:pic>
              </a:graphicData>
            </a:graphic>
          </wp:inline>
        </w:drawing>
      </w:r>
    </w:p>
    <w:p w:rsidR="00881AEA" w:rsidRDefault="00881AEA" w:rsidP="00881AEA">
      <w:pPr>
        <w:pStyle w:val="a5"/>
        <w:shd w:val="clear" w:color="auto" w:fill="FFFFFF"/>
        <w:spacing w:before="0" w:beforeAutospacing="0" w:after="0" w:afterAutospacing="0"/>
        <w:rPr>
          <w:rFonts w:ascii="Arial" w:hAnsi="Arial" w:cs="Arial" w:hint="eastAsia"/>
          <w:color w:val="000000"/>
          <w:sz w:val="20"/>
          <w:szCs w:val="20"/>
        </w:rPr>
      </w:pPr>
    </w:p>
    <w:p w:rsidR="00881AEA" w:rsidRDefault="00881AEA" w:rsidP="00881AEA">
      <w:pPr>
        <w:pStyle w:val="a5"/>
        <w:shd w:val="clear" w:color="auto" w:fill="FFFFFF"/>
        <w:spacing w:before="0" w:beforeAutospacing="0" w:after="0" w:afterAutospacing="0"/>
        <w:rPr>
          <w:rFonts w:ascii="Arial" w:hAnsi="Arial" w:cs="Arial" w:hint="eastAsia"/>
          <w:color w:val="000000"/>
          <w:sz w:val="20"/>
          <w:szCs w:val="20"/>
        </w:rPr>
      </w:pPr>
      <w:r>
        <w:rPr>
          <w:rFonts w:ascii="Arial" w:hAnsi="Arial" w:cs="Arial"/>
          <w:noProof/>
          <w:color w:val="000000"/>
          <w:sz w:val="20"/>
          <w:szCs w:val="20"/>
        </w:rPr>
        <w:drawing>
          <wp:inline distT="0" distB="0" distL="0" distR="0">
            <wp:extent cx="5274310" cy="1684020"/>
            <wp:effectExtent l="19050" t="0" r="2540" b="0"/>
            <wp:docPr id="19" name="图片 18"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 cstate="print"/>
                    <a:stretch>
                      <a:fillRect/>
                    </a:stretch>
                  </pic:blipFill>
                  <pic:spPr>
                    <a:xfrm>
                      <a:off x="0" y="0"/>
                      <a:ext cx="5274310" cy="1684020"/>
                    </a:xfrm>
                    <a:prstGeom prst="rect">
                      <a:avLst/>
                    </a:prstGeom>
                  </pic:spPr>
                </pic:pic>
              </a:graphicData>
            </a:graphic>
          </wp:inline>
        </w:drawing>
      </w:r>
    </w:p>
    <w:p w:rsidR="00881AEA" w:rsidRDefault="00881AEA" w:rsidP="00881AEA">
      <w:pPr>
        <w:pStyle w:val="a5"/>
        <w:shd w:val="clear" w:color="auto" w:fill="FFFFFF"/>
        <w:spacing w:before="0" w:beforeAutospacing="0" w:after="0" w:afterAutospacing="0"/>
        <w:rPr>
          <w:rFonts w:ascii="Arial" w:hAnsi="Arial" w:cs="Arial" w:hint="eastAsia"/>
          <w:color w:val="000000"/>
          <w:sz w:val="20"/>
          <w:szCs w:val="20"/>
        </w:rPr>
      </w:pPr>
    </w:p>
    <w:p w:rsidR="00881AEA" w:rsidRDefault="00881AEA" w:rsidP="00881AEA">
      <w:pPr>
        <w:pStyle w:val="a5"/>
        <w:shd w:val="clear" w:color="auto" w:fill="FFFFFF"/>
        <w:spacing w:before="0" w:beforeAutospacing="0" w:after="0" w:afterAutospacing="0"/>
        <w:rPr>
          <w:rFonts w:ascii="Arial" w:hAnsi="Arial" w:cs="Arial" w:hint="eastAsia"/>
          <w:color w:val="000000"/>
          <w:sz w:val="20"/>
          <w:szCs w:val="20"/>
        </w:rPr>
      </w:pPr>
      <w:r>
        <w:rPr>
          <w:rFonts w:ascii="Arial" w:hAnsi="Arial" w:cs="Arial"/>
          <w:noProof/>
          <w:color w:val="000000"/>
          <w:sz w:val="20"/>
          <w:szCs w:val="20"/>
        </w:rPr>
        <w:lastRenderedPageBreak/>
        <w:drawing>
          <wp:inline distT="0" distB="0" distL="0" distR="0">
            <wp:extent cx="5274310" cy="7062470"/>
            <wp:effectExtent l="19050" t="0" r="2540" b="0"/>
            <wp:docPr id="20" name="图片 19"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 cstate="print"/>
                    <a:stretch>
                      <a:fillRect/>
                    </a:stretch>
                  </pic:blipFill>
                  <pic:spPr>
                    <a:xfrm>
                      <a:off x="0" y="0"/>
                      <a:ext cx="5274310" cy="7062470"/>
                    </a:xfrm>
                    <a:prstGeom prst="rect">
                      <a:avLst/>
                    </a:prstGeom>
                  </pic:spPr>
                </pic:pic>
              </a:graphicData>
            </a:graphic>
          </wp:inline>
        </w:drawing>
      </w:r>
    </w:p>
    <w:p w:rsidR="00881AEA" w:rsidRDefault="00881AEA" w:rsidP="00881AEA">
      <w:pPr>
        <w:pStyle w:val="a5"/>
        <w:shd w:val="clear" w:color="auto" w:fill="FFFFFF"/>
        <w:spacing w:before="0" w:beforeAutospacing="0" w:after="0" w:afterAutospacing="0"/>
        <w:rPr>
          <w:rFonts w:ascii="Arial" w:hAnsi="Arial" w:cs="Arial" w:hint="eastAsia"/>
          <w:color w:val="000000"/>
          <w:sz w:val="20"/>
          <w:szCs w:val="20"/>
        </w:rPr>
      </w:pPr>
    </w:p>
    <w:p w:rsidR="00881AEA" w:rsidRDefault="00881AEA" w:rsidP="00881AEA">
      <w:pPr>
        <w:pStyle w:val="a5"/>
        <w:shd w:val="clear" w:color="auto" w:fill="FFFFFF"/>
        <w:spacing w:before="0" w:beforeAutospacing="0" w:after="0" w:afterAutospacing="0"/>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5274310" cy="3187065"/>
            <wp:effectExtent l="19050" t="0" r="2540" b="0"/>
            <wp:docPr id="21" name="图片 20"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1" cstate="print"/>
                    <a:stretch>
                      <a:fillRect/>
                    </a:stretch>
                  </pic:blipFill>
                  <pic:spPr>
                    <a:xfrm>
                      <a:off x="0" y="0"/>
                      <a:ext cx="5274310" cy="3187065"/>
                    </a:xfrm>
                    <a:prstGeom prst="rect">
                      <a:avLst/>
                    </a:prstGeom>
                  </pic:spPr>
                </pic:pic>
              </a:graphicData>
            </a:graphic>
          </wp:inline>
        </w:drawing>
      </w:r>
      <w:r>
        <w:rPr>
          <w:rFonts w:ascii="Arial" w:hAnsi="Arial" w:cs="Arial"/>
          <w:noProof/>
          <w:color w:val="000000"/>
          <w:sz w:val="20"/>
          <w:szCs w:val="20"/>
        </w:rPr>
        <w:drawing>
          <wp:inline distT="0" distB="0" distL="0" distR="0">
            <wp:extent cx="5274310" cy="2600960"/>
            <wp:effectExtent l="19050" t="0" r="2540" b="0"/>
            <wp:docPr id="22" name="图片 21"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2" cstate="print"/>
                    <a:stretch>
                      <a:fillRect/>
                    </a:stretch>
                  </pic:blipFill>
                  <pic:spPr>
                    <a:xfrm>
                      <a:off x="0" y="0"/>
                      <a:ext cx="5274310" cy="2600960"/>
                    </a:xfrm>
                    <a:prstGeom prst="rect">
                      <a:avLst/>
                    </a:prstGeom>
                  </pic:spPr>
                </pic:pic>
              </a:graphicData>
            </a:graphic>
          </wp:inline>
        </w:drawing>
      </w:r>
      <w:r>
        <w:rPr>
          <w:rFonts w:ascii="Arial" w:hAnsi="Arial" w:cs="Arial"/>
          <w:noProof/>
          <w:color w:val="000000"/>
          <w:sz w:val="20"/>
          <w:szCs w:val="20"/>
        </w:rPr>
        <w:lastRenderedPageBreak/>
        <w:drawing>
          <wp:inline distT="0" distB="0" distL="0" distR="0">
            <wp:extent cx="3096260" cy="8863330"/>
            <wp:effectExtent l="19050" t="0" r="8890" b="0"/>
            <wp:docPr id="23" name="图片 22"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3" cstate="print"/>
                    <a:stretch>
                      <a:fillRect/>
                    </a:stretch>
                  </pic:blipFill>
                  <pic:spPr>
                    <a:xfrm>
                      <a:off x="0" y="0"/>
                      <a:ext cx="3096260" cy="8863330"/>
                    </a:xfrm>
                    <a:prstGeom prst="rect">
                      <a:avLst/>
                    </a:prstGeom>
                  </pic:spPr>
                </pic:pic>
              </a:graphicData>
            </a:graphic>
          </wp:inline>
        </w:drawing>
      </w:r>
      <w:r>
        <w:rPr>
          <w:rFonts w:ascii="Arial" w:hAnsi="Arial" w:cs="Arial"/>
          <w:noProof/>
          <w:color w:val="000000"/>
          <w:sz w:val="20"/>
          <w:szCs w:val="20"/>
        </w:rPr>
        <w:lastRenderedPageBreak/>
        <w:drawing>
          <wp:inline distT="0" distB="0" distL="0" distR="0">
            <wp:extent cx="5274310" cy="1268095"/>
            <wp:effectExtent l="19050" t="0" r="2540" b="0"/>
            <wp:docPr id="24" name="图片 23"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4" cstate="print"/>
                    <a:stretch>
                      <a:fillRect/>
                    </a:stretch>
                  </pic:blipFill>
                  <pic:spPr>
                    <a:xfrm>
                      <a:off x="0" y="0"/>
                      <a:ext cx="5274310" cy="1268095"/>
                    </a:xfrm>
                    <a:prstGeom prst="rect">
                      <a:avLst/>
                    </a:prstGeom>
                  </pic:spPr>
                </pic:pic>
              </a:graphicData>
            </a:graphic>
          </wp:inline>
        </w:drawing>
      </w:r>
      <w:r>
        <w:rPr>
          <w:rFonts w:ascii="Arial" w:hAnsi="Arial" w:cs="Arial"/>
          <w:noProof/>
          <w:color w:val="000000"/>
          <w:sz w:val="20"/>
          <w:szCs w:val="20"/>
        </w:rPr>
        <w:drawing>
          <wp:inline distT="0" distB="0" distL="0" distR="0">
            <wp:extent cx="5274310" cy="3021965"/>
            <wp:effectExtent l="19050" t="0" r="2540" b="0"/>
            <wp:docPr id="25" name="图片 24"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5" cstate="print"/>
                    <a:stretch>
                      <a:fillRect/>
                    </a:stretch>
                  </pic:blipFill>
                  <pic:spPr>
                    <a:xfrm>
                      <a:off x="0" y="0"/>
                      <a:ext cx="5274310" cy="3021965"/>
                    </a:xfrm>
                    <a:prstGeom prst="rect">
                      <a:avLst/>
                    </a:prstGeom>
                  </pic:spPr>
                </pic:pic>
              </a:graphicData>
            </a:graphic>
          </wp:inline>
        </w:drawing>
      </w:r>
      <w:r>
        <w:rPr>
          <w:rFonts w:ascii="Arial" w:hAnsi="Arial" w:cs="Arial"/>
          <w:noProof/>
          <w:color w:val="000000"/>
          <w:sz w:val="20"/>
          <w:szCs w:val="20"/>
        </w:rPr>
        <w:drawing>
          <wp:inline distT="0" distB="0" distL="0" distR="0">
            <wp:extent cx="5274310" cy="1019175"/>
            <wp:effectExtent l="19050" t="0" r="2540" b="0"/>
            <wp:docPr id="26" name="图片 25"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6" cstate="print"/>
                    <a:stretch>
                      <a:fillRect/>
                    </a:stretch>
                  </pic:blipFill>
                  <pic:spPr>
                    <a:xfrm>
                      <a:off x="0" y="0"/>
                      <a:ext cx="5274310" cy="1019175"/>
                    </a:xfrm>
                    <a:prstGeom prst="rect">
                      <a:avLst/>
                    </a:prstGeom>
                  </pic:spPr>
                </pic:pic>
              </a:graphicData>
            </a:graphic>
          </wp:inline>
        </w:drawing>
      </w:r>
    </w:p>
    <w:p w:rsidR="00881AEA" w:rsidRDefault="00881AEA" w:rsidP="00881AEA">
      <w:pPr>
        <w:jc w:val="left"/>
        <w:rPr>
          <w:rFonts w:hint="eastAsia"/>
        </w:rPr>
      </w:pPr>
    </w:p>
    <w:sectPr w:rsidR="00881AEA" w:rsidSect="00D73718">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8432FC"/>
    <w:multiLevelType w:val="multilevel"/>
    <w:tmpl w:val="93580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D782975"/>
    <w:multiLevelType w:val="multilevel"/>
    <w:tmpl w:val="2C44A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1E132C"/>
    <w:rsid w:val="001E132C"/>
    <w:rsid w:val="003163BD"/>
    <w:rsid w:val="004A1975"/>
    <w:rsid w:val="004D453B"/>
    <w:rsid w:val="00643CFB"/>
    <w:rsid w:val="007736AF"/>
    <w:rsid w:val="007A5639"/>
    <w:rsid w:val="00881AEA"/>
    <w:rsid w:val="00A8111B"/>
    <w:rsid w:val="00BC3600"/>
    <w:rsid w:val="00D7371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371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1E132C"/>
    <w:rPr>
      <w:b/>
      <w:bCs/>
    </w:rPr>
  </w:style>
  <w:style w:type="paragraph" w:styleId="a4">
    <w:name w:val="Balloon Text"/>
    <w:basedOn w:val="a"/>
    <w:link w:val="Char"/>
    <w:uiPriority w:val="99"/>
    <w:semiHidden/>
    <w:unhideWhenUsed/>
    <w:rsid w:val="001E132C"/>
    <w:rPr>
      <w:sz w:val="18"/>
      <w:szCs w:val="18"/>
    </w:rPr>
  </w:style>
  <w:style w:type="character" w:customStyle="1" w:styleId="Char">
    <w:name w:val="批注框文本 Char"/>
    <w:basedOn w:val="a0"/>
    <w:link w:val="a4"/>
    <w:uiPriority w:val="99"/>
    <w:semiHidden/>
    <w:rsid w:val="001E132C"/>
    <w:rPr>
      <w:sz w:val="18"/>
      <w:szCs w:val="18"/>
    </w:rPr>
  </w:style>
  <w:style w:type="paragraph" w:styleId="a5">
    <w:name w:val="Normal (Web)"/>
    <w:basedOn w:val="a"/>
    <w:uiPriority w:val="99"/>
    <w:semiHidden/>
    <w:unhideWhenUsed/>
    <w:rsid w:val="00A8111B"/>
    <w:pPr>
      <w:widowControl/>
      <w:spacing w:before="100" w:beforeAutospacing="1" w:after="100" w:afterAutospacing="1"/>
      <w:jc w:val="left"/>
    </w:pPr>
    <w:rPr>
      <w:rFonts w:ascii="宋体" w:eastAsia="宋体" w:hAnsi="宋体" w:cs="宋体"/>
      <w:kern w:val="0"/>
      <w:sz w:val="24"/>
      <w:szCs w:val="24"/>
    </w:rPr>
  </w:style>
  <w:style w:type="character" w:styleId="a6">
    <w:name w:val="Hyperlink"/>
    <w:basedOn w:val="a0"/>
    <w:uiPriority w:val="99"/>
    <w:semiHidden/>
    <w:unhideWhenUsed/>
    <w:rsid w:val="00A8111B"/>
    <w:rPr>
      <w:color w:val="0000FF"/>
      <w:u w:val="single"/>
    </w:rPr>
  </w:style>
</w:styles>
</file>

<file path=word/webSettings.xml><?xml version="1.0" encoding="utf-8"?>
<w:webSettings xmlns:r="http://schemas.openxmlformats.org/officeDocument/2006/relationships" xmlns:w="http://schemas.openxmlformats.org/wordprocessingml/2006/main">
  <w:divs>
    <w:div w:id="29845443">
      <w:bodyDiv w:val="1"/>
      <w:marLeft w:val="0"/>
      <w:marRight w:val="0"/>
      <w:marTop w:val="0"/>
      <w:marBottom w:val="0"/>
      <w:divBdr>
        <w:top w:val="none" w:sz="0" w:space="0" w:color="auto"/>
        <w:left w:val="none" w:sz="0" w:space="0" w:color="auto"/>
        <w:bottom w:val="none" w:sz="0" w:space="0" w:color="auto"/>
        <w:right w:val="none" w:sz="0" w:space="0" w:color="auto"/>
      </w:divBdr>
    </w:div>
    <w:div w:id="94987328">
      <w:bodyDiv w:val="1"/>
      <w:marLeft w:val="0"/>
      <w:marRight w:val="0"/>
      <w:marTop w:val="0"/>
      <w:marBottom w:val="0"/>
      <w:divBdr>
        <w:top w:val="none" w:sz="0" w:space="0" w:color="auto"/>
        <w:left w:val="none" w:sz="0" w:space="0" w:color="auto"/>
        <w:bottom w:val="none" w:sz="0" w:space="0" w:color="auto"/>
        <w:right w:val="none" w:sz="0" w:space="0" w:color="auto"/>
      </w:divBdr>
    </w:div>
    <w:div w:id="128861912">
      <w:bodyDiv w:val="1"/>
      <w:marLeft w:val="0"/>
      <w:marRight w:val="0"/>
      <w:marTop w:val="0"/>
      <w:marBottom w:val="0"/>
      <w:divBdr>
        <w:top w:val="none" w:sz="0" w:space="0" w:color="auto"/>
        <w:left w:val="none" w:sz="0" w:space="0" w:color="auto"/>
        <w:bottom w:val="none" w:sz="0" w:space="0" w:color="auto"/>
        <w:right w:val="none" w:sz="0" w:space="0" w:color="auto"/>
      </w:divBdr>
    </w:div>
    <w:div w:id="241765403">
      <w:bodyDiv w:val="1"/>
      <w:marLeft w:val="0"/>
      <w:marRight w:val="0"/>
      <w:marTop w:val="0"/>
      <w:marBottom w:val="0"/>
      <w:divBdr>
        <w:top w:val="none" w:sz="0" w:space="0" w:color="auto"/>
        <w:left w:val="none" w:sz="0" w:space="0" w:color="auto"/>
        <w:bottom w:val="none" w:sz="0" w:space="0" w:color="auto"/>
        <w:right w:val="none" w:sz="0" w:space="0" w:color="auto"/>
      </w:divBdr>
    </w:div>
    <w:div w:id="249316615">
      <w:bodyDiv w:val="1"/>
      <w:marLeft w:val="0"/>
      <w:marRight w:val="0"/>
      <w:marTop w:val="0"/>
      <w:marBottom w:val="0"/>
      <w:divBdr>
        <w:top w:val="none" w:sz="0" w:space="0" w:color="auto"/>
        <w:left w:val="none" w:sz="0" w:space="0" w:color="auto"/>
        <w:bottom w:val="none" w:sz="0" w:space="0" w:color="auto"/>
        <w:right w:val="none" w:sz="0" w:space="0" w:color="auto"/>
      </w:divBdr>
    </w:div>
    <w:div w:id="291250773">
      <w:bodyDiv w:val="1"/>
      <w:marLeft w:val="0"/>
      <w:marRight w:val="0"/>
      <w:marTop w:val="0"/>
      <w:marBottom w:val="0"/>
      <w:divBdr>
        <w:top w:val="none" w:sz="0" w:space="0" w:color="auto"/>
        <w:left w:val="none" w:sz="0" w:space="0" w:color="auto"/>
        <w:bottom w:val="none" w:sz="0" w:space="0" w:color="auto"/>
        <w:right w:val="none" w:sz="0" w:space="0" w:color="auto"/>
      </w:divBdr>
      <w:divsChild>
        <w:div w:id="1383478556">
          <w:marLeft w:val="0"/>
          <w:marRight w:val="0"/>
          <w:marTop w:val="0"/>
          <w:marBottom w:val="0"/>
          <w:divBdr>
            <w:top w:val="none" w:sz="0" w:space="0" w:color="auto"/>
            <w:left w:val="none" w:sz="0" w:space="0" w:color="auto"/>
            <w:bottom w:val="none" w:sz="0" w:space="0" w:color="auto"/>
            <w:right w:val="none" w:sz="0" w:space="0" w:color="auto"/>
          </w:divBdr>
        </w:div>
      </w:divsChild>
    </w:div>
    <w:div w:id="397901397">
      <w:bodyDiv w:val="1"/>
      <w:marLeft w:val="0"/>
      <w:marRight w:val="0"/>
      <w:marTop w:val="0"/>
      <w:marBottom w:val="0"/>
      <w:divBdr>
        <w:top w:val="none" w:sz="0" w:space="0" w:color="auto"/>
        <w:left w:val="none" w:sz="0" w:space="0" w:color="auto"/>
        <w:bottom w:val="none" w:sz="0" w:space="0" w:color="auto"/>
        <w:right w:val="none" w:sz="0" w:space="0" w:color="auto"/>
      </w:divBdr>
    </w:div>
    <w:div w:id="492375645">
      <w:bodyDiv w:val="1"/>
      <w:marLeft w:val="0"/>
      <w:marRight w:val="0"/>
      <w:marTop w:val="0"/>
      <w:marBottom w:val="0"/>
      <w:divBdr>
        <w:top w:val="none" w:sz="0" w:space="0" w:color="auto"/>
        <w:left w:val="none" w:sz="0" w:space="0" w:color="auto"/>
        <w:bottom w:val="none" w:sz="0" w:space="0" w:color="auto"/>
        <w:right w:val="none" w:sz="0" w:space="0" w:color="auto"/>
      </w:divBdr>
    </w:div>
    <w:div w:id="676923489">
      <w:bodyDiv w:val="1"/>
      <w:marLeft w:val="0"/>
      <w:marRight w:val="0"/>
      <w:marTop w:val="0"/>
      <w:marBottom w:val="0"/>
      <w:divBdr>
        <w:top w:val="none" w:sz="0" w:space="0" w:color="auto"/>
        <w:left w:val="none" w:sz="0" w:space="0" w:color="auto"/>
        <w:bottom w:val="none" w:sz="0" w:space="0" w:color="auto"/>
        <w:right w:val="none" w:sz="0" w:space="0" w:color="auto"/>
      </w:divBdr>
    </w:div>
    <w:div w:id="933631849">
      <w:bodyDiv w:val="1"/>
      <w:marLeft w:val="0"/>
      <w:marRight w:val="0"/>
      <w:marTop w:val="0"/>
      <w:marBottom w:val="0"/>
      <w:divBdr>
        <w:top w:val="none" w:sz="0" w:space="0" w:color="auto"/>
        <w:left w:val="none" w:sz="0" w:space="0" w:color="auto"/>
        <w:bottom w:val="none" w:sz="0" w:space="0" w:color="auto"/>
        <w:right w:val="none" w:sz="0" w:space="0" w:color="auto"/>
      </w:divBdr>
      <w:divsChild>
        <w:div w:id="1892887390">
          <w:marLeft w:val="0"/>
          <w:marRight w:val="0"/>
          <w:marTop w:val="0"/>
          <w:marBottom w:val="0"/>
          <w:divBdr>
            <w:top w:val="none" w:sz="0" w:space="0" w:color="auto"/>
            <w:left w:val="none" w:sz="0" w:space="0" w:color="auto"/>
            <w:bottom w:val="none" w:sz="0" w:space="0" w:color="auto"/>
            <w:right w:val="none" w:sz="0" w:space="0" w:color="auto"/>
          </w:divBdr>
        </w:div>
      </w:divsChild>
    </w:div>
    <w:div w:id="1057625956">
      <w:bodyDiv w:val="1"/>
      <w:marLeft w:val="0"/>
      <w:marRight w:val="0"/>
      <w:marTop w:val="0"/>
      <w:marBottom w:val="0"/>
      <w:divBdr>
        <w:top w:val="none" w:sz="0" w:space="0" w:color="auto"/>
        <w:left w:val="none" w:sz="0" w:space="0" w:color="auto"/>
        <w:bottom w:val="none" w:sz="0" w:space="0" w:color="auto"/>
        <w:right w:val="none" w:sz="0" w:space="0" w:color="auto"/>
      </w:divBdr>
    </w:div>
    <w:div w:id="1078868801">
      <w:bodyDiv w:val="1"/>
      <w:marLeft w:val="0"/>
      <w:marRight w:val="0"/>
      <w:marTop w:val="0"/>
      <w:marBottom w:val="0"/>
      <w:divBdr>
        <w:top w:val="none" w:sz="0" w:space="0" w:color="auto"/>
        <w:left w:val="none" w:sz="0" w:space="0" w:color="auto"/>
        <w:bottom w:val="none" w:sz="0" w:space="0" w:color="auto"/>
        <w:right w:val="none" w:sz="0" w:space="0" w:color="auto"/>
      </w:divBdr>
    </w:div>
    <w:div w:id="1115254923">
      <w:bodyDiv w:val="1"/>
      <w:marLeft w:val="0"/>
      <w:marRight w:val="0"/>
      <w:marTop w:val="0"/>
      <w:marBottom w:val="0"/>
      <w:divBdr>
        <w:top w:val="none" w:sz="0" w:space="0" w:color="auto"/>
        <w:left w:val="none" w:sz="0" w:space="0" w:color="auto"/>
        <w:bottom w:val="none" w:sz="0" w:space="0" w:color="auto"/>
        <w:right w:val="none" w:sz="0" w:space="0" w:color="auto"/>
      </w:divBdr>
    </w:div>
    <w:div w:id="1219895582">
      <w:bodyDiv w:val="1"/>
      <w:marLeft w:val="0"/>
      <w:marRight w:val="0"/>
      <w:marTop w:val="0"/>
      <w:marBottom w:val="0"/>
      <w:divBdr>
        <w:top w:val="none" w:sz="0" w:space="0" w:color="auto"/>
        <w:left w:val="none" w:sz="0" w:space="0" w:color="auto"/>
        <w:bottom w:val="none" w:sz="0" w:space="0" w:color="auto"/>
        <w:right w:val="none" w:sz="0" w:space="0" w:color="auto"/>
      </w:divBdr>
    </w:div>
    <w:div w:id="1313635926">
      <w:bodyDiv w:val="1"/>
      <w:marLeft w:val="0"/>
      <w:marRight w:val="0"/>
      <w:marTop w:val="0"/>
      <w:marBottom w:val="0"/>
      <w:divBdr>
        <w:top w:val="none" w:sz="0" w:space="0" w:color="auto"/>
        <w:left w:val="none" w:sz="0" w:space="0" w:color="auto"/>
        <w:bottom w:val="none" w:sz="0" w:space="0" w:color="auto"/>
        <w:right w:val="none" w:sz="0" w:space="0" w:color="auto"/>
      </w:divBdr>
    </w:div>
    <w:div w:id="1378429364">
      <w:bodyDiv w:val="1"/>
      <w:marLeft w:val="0"/>
      <w:marRight w:val="0"/>
      <w:marTop w:val="0"/>
      <w:marBottom w:val="0"/>
      <w:divBdr>
        <w:top w:val="none" w:sz="0" w:space="0" w:color="auto"/>
        <w:left w:val="none" w:sz="0" w:space="0" w:color="auto"/>
        <w:bottom w:val="none" w:sz="0" w:space="0" w:color="auto"/>
        <w:right w:val="none" w:sz="0" w:space="0" w:color="auto"/>
      </w:divBdr>
    </w:div>
    <w:div w:id="1430353109">
      <w:bodyDiv w:val="1"/>
      <w:marLeft w:val="0"/>
      <w:marRight w:val="0"/>
      <w:marTop w:val="0"/>
      <w:marBottom w:val="0"/>
      <w:divBdr>
        <w:top w:val="none" w:sz="0" w:space="0" w:color="auto"/>
        <w:left w:val="none" w:sz="0" w:space="0" w:color="auto"/>
        <w:bottom w:val="none" w:sz="0" w:space="0" w:color="auto"/>
        <w:right w:val="none" w:sz="0" w:space="0" w:color="auto"/>
      </w:divBdr>
      <w:divsChild>
        <w:div w:id="735053329">
          <w:marLeft w:val="0"/>
          <w:marRight w:val="0"/>
          <w:marTop w:val="0"/>
          <w:marBottom w:val="0"/>
          <w:divBdr>
            <w:top w:val="none" w:sz="0" w:space="0" w:color="auto"/>
            <w:left w:val="none" w:sz="0" w:space="0" w:color="auto"/>
            <w:bottom w:val="none" w:sz="0" w:space="0" w:color="auto"/>
            <w:right w:val="none" w:sz="0" w:space="0" w:color="auto"/>
          </w:divBdr>
        </w:div>
      </w:divsChild>
    </w:div>
    <w:div w:id="1614246906">
      <w:bodyDiv w:val="1"/>
      <w:marLeft w:val="0"/>
      <w:marRight w:val="0"/>
      <w:marTop w:val="0"/>
      <w:marBottom w:val="0"/>
      <w:divBdr>
        <w:top w:val="none" w:sz="0" w:space="0" w:color="auto"/>
        <w:left w:val="none" w:sz="0" w:space="0" w:color="auto"/>
        <w:bottom w:val="none" w:sz="0" w:space="0" w:color="auto"/>
        <w:right w:val="none" w:sz="0" w:space="0" w:color="auto"/>
      </w:divBdr>
    </w:div>
    <w:div w:id="1707559437">
      <w:bodyDiv w:val="1"/>
      <w:marLeft w:val="0"/>
      <w:marRight w:val="0"/>
      <w:marTop w:val="0"/>
      <w:marBottom w:val="0"/>
      <w:divBdr>
        <w:top w:val="none" w:sz="0" w:space="0" w:color="auto"/>
        <w:left w:val="none" w:sz="0" w:space="0" w:color="auto"/>
        <w:bottom w:val="none" w:sz="0" w:space="0" w:color="auto"/>
        <w:right w:val="none" w:sz="0" w:space="0" w:color="auto"/>
      </w:divBdr>
    </w:div>
    <w:div w:id="1814518708">
      <w:bodyDiv w:val="1"/>
      <w:marLeft w:val="0"/>
      <w:marRight w:val="0"/>
      <w:marTop w:val="0"/>
      <w:marBottom w:val="0"/>
      <w:divBdr>
        <w:top w:val="none" w:sz="0" w:space="0" w:color="auto"/>
        <w:left w:val="none" w:sz="0" w:space="0" w:color="auto"/>
        <w:bottom w:val="none" w:sz="0" w:space="0" w:color="auto"/>
        <w:right w:val="none" w:sz="0" w:space="0" w:color="auto"/>
      </w:divBdr>
    </w:div>
    <w:div w:id="1875575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javascript:;" TargetMode="Externa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707</Words>
  <Characters>4033</Characters>
  <Application>Microsoft Office Word</Application>
  <DocSecurity>0</DocSecurity>
  <Lines>33</Lines>
  <Paragraphs>9</Paragraphs>
  <ScaleCrop>false</ScaleCrop>
  <Company/>
  <LinksUpToDate>false</LinksUpToDate>
  <CharactersWithSpaces>4731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2019-08-10T06:04:00Z</dcterms:created>
  <dcterms:modified xsi:type="dcterms:W3CDTF">2019-08-10T06:04:00Z</dcterms:modified>
</cp:coreProperties>
</file>