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F8" w:rsidRPr="002F18F8" w:rsidRDefault="002F18F8" w:rsidP="002F18F8">
      <w:pPr>
        <w:widowControl/>
        <w:jc w:val="left"/>
        <w:rPr>
          <w:rFonts w:ascii="宋体" w:eastAsia="宋体" w:hAnsi="宋体" w:cs="宋体"/>
          <w:kern w:val="0"/>
          <w:sz w:val="24"/>
          <w:szCs w:val="24"/>
        </w:rPr>
      </w:pPr>
      <w:bookmarkStart w:id="0" w:name="_GoBack"/>
      <w:r w:rsidRPr="002F18F8">
        <w:rPr>
          <w:rFonts w:ascii="宋体" w:eastAsia="宋体" w:hAnsi="宋体" w:cs="宋体"/>
          <w:b/>
          <w:bCs/>
          <w:kern w:val="0"/>
          <w:sz w:val="24"/>
          <w:szCs w:val="24"/>
        </w:rPr>
        <w:t>《关于加快推进失信被执行人信用监督、警示和惩戒机制建设的意见》</w:t>
      </w:r>
    </w:p>
    <w:bookmarkEnd w:id="0"/>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一、总体要求</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指导思想。全面贯彻落实党的十八大和十八届三中、四中、五中全会精神，深入学习贯彻习近平总书记系列重要讲话精神，紧紧围绕统筹推进“五位一体”总体布局和协调推进“四个全面”战略布局，，按照培育和</w:t>
      </w:r>
      <w:proofErr w:type="gramStart"/>
      <w:r w:rsidRPr="002F18F8">
        <w:rPr>
          <w:rFonts w:ascii="宋体" w:eastAsia="宋体" w:hAnsi="宋体" w:cs="宋体"/>
          <w:kern w:val="0"/>
          <w:sz w:val="24"/>
          <w:szCs w:val="24"/>
        </w:rPr>
        <w:t>践行</w:t>
      </w:r>
      <w:proofErr w:type="gramEnd"/>
      <w:r w:rsidRPr="002F18F8">
        <w:rPr>
          <w:rFonts w:ascii="宋体" w:eastAsia="宋体" w:hAnsi="宋体" w:cs="宋体"/>
          <w:kern w:val="0"/>
          <w:sz w:val="24"/>
          <w:szCs w:val="24"/>
        </w:rPr>
        <w:t>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牢固树立新发展理念</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（二）基本原则</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——坚持合法性。对失信被执行人信用监督、警示和惩戒要严格遵照法律法规实施。</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——坚持信息共享。破除各地区各部门之间以及国家机关与人民团体、社会组织、企事业单位之间的信用信息壁垒，依法推进信用信息互联互通和交换共享。</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——坚持联合惩戒。各地区各部门要各司其职，相互配合，形成合力，构建一处失信、处处受限的信用监督、警示和惩戒体系。</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——坚持政府主导和社会联动。各级政府要发挥主导作用，同时发挥各方面力量，促进全社会共同参与、共同治理，实现政府主导与社会联动的有效融合。</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二、加强联合惩戒</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（一）从事特定行业或项目限制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2．发行债券限制。对失信被执行人在银行间市场发行债券从严审核，限制失信被执行人公开发行公司债券。</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3．合格投资者额度限制。在合格境外机构投资者、合格境内机构投资者额度审批和管理中，将失信状况作为审慎性参考依据。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4．股权激励限制。失信被执行人为境内国有控股上市公司的，协助中止其股权激励计划；对失信被执行人为境内国有控股上市公司股权激励对象的，协助终止其行权资格。</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lastRenderedPageBreak/>
        <w:t>5．股票发行或挂牌转让限制。将失信被执行人信息作为股票发行和在全国中小企业股份转让系统挂牌公开转让股票审核的参考。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6．设立社会组织限制。将失信被执行人信息作为发起设立社会组织审批登记的参考，限制失信被执行人发起设立社会组织。</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（二）政府支持或补贴限制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1．获取政府补贴限制。限制失信被执行人申请政府补贴资金和社会保障资金支持。</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2．获得政策支持限制。在审批投资、进出口、科技等政策支持的申请时，查询相关机构及其法定代表人、实际控制人、董事、监事、高级管理人员是否为失信被执行人，作为其享受该政策的审慎性参考。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（三）任职资格限制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2．担任事业单位法定代表人限制。失信被执行人为个人的，限制其登记为事业单位法定代表人。</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3．担任金融机构高管限制。限制失信被执行人担任银行业金融机构、证券公司、基金管理公司、期货公司、保险公司、融资性担保公司的董事、监事、高级管理人员。</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4．担任社会组织负责人限制。失信被执行人为个人的，限制其登记或备案为社会组织负责人。</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5．招录（聘）为公务人员限制。限制招录（聘）失信被执行人为公务员或事业单位工作人员，在职公务员或事业单位工作人员被确定为失信被执行人的，失信情况应作为其评先、评优、晋职晋级的参考。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6．入党或党员的特别限制。将严格遵守法律、履行生效法律文书确定的义务情况，作为申请加入中国共产党、预备党员转为正式党员以及党员评先、评优、晋职晋级的重要参考。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7．担任党代表、人大代表和政协委员限制。失信被执行人为个人的，不作为组织推荐的各级党代会代表、各级人大代表和政协委员候选人。</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8．入伍服役限制。失信被执行人为个人的，将其失信情况作为入伍服役和现役、预备役军官评先、评优、晋职晋级的重要参考。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（四）准入资格限制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1．海关认证限制。限制失信被执行人成为海关认证企业；在失信被执行人办理通关业务时，实施严密监管，加强单证审核或布控查验。</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lastRenderedPageBreak/>
        <w:t>3．房地产、建筑企业资质限制。将房地产、建筑企业不依法履行生效法律文书确定的义务情况，记入房地产和建筑市场信用档案，向社会披露有关信息，对其企业资质</w:t>
      </w:r>
      <w:proofErr w:type="gramStart"/>
      <w:r w:rsidRPr="002F18F8">
        <w:rPr>
          <w:rFonts w:ascii="宋体" w:eastAsia="宋体" w:hAnsi="宋体" w:cs="宋体"/>
          <w:kern w:val="0"/>
          <w:sz w:val="24"/>
          <w:szCs w:val="24"/>
        </w:rPr>
        <w:t>作出</w:t>
      </w:r>
      <w:proofErr w:type="gramEnd"/>
      <w:r w:rsidRPr="002F18F8">
        <w:rPr>
          <w:rFonts w:ascii="宋体" w:eastAsia="宋体" w:hAnsi="宋体" w:cs="宋体"/>
          <w:kern w:val="0"/>
          <w:sz w:val="24"/>
          <w:szCs w:val="24"/>
        </w:rPr>
        <w:t>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（五）荣誉和</w:t>
      </w:r>
      <w:proofErr w:type="gramStart"/>
      <w:r w:rsidRPr="002F18F8">
        <w:rPr>
          <w:rFonts w:ascii="宋体" w:eastAsia="宋体" w:hAnsi="宋体" w:cs="宋体"/>
          <w:kern w:val="0"/>
          <w:sz w:val="24"/>
          <w:szCs w:val="24"/>
        </w:rPr>
        <w:t>授信</w:t>
      </w:r>
      <w:proofErr w:type="gramEnd"/>
      <w:r w:rsidRPr="002F18F8">
        <w:rPr>
          <w:rFonts w:ascii="宋体" w:eastAsia="宋体" w:hAnsi="宋体" w:cs="宋体"/>
          <w:kern w:val="0"/>
          <w:sz w:val="24"/>
          <w:szCs w:val="24"/>
        </w:rPr>
        <w:t>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2．律师和律师事务所荣誉限制。协助人民法院查询失信被执行人的律师身份信息、律师事务所登记信息；失信被执行人为律师、律师事务所的，在一定期限内限制其参与评先、评优。</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3．授信限制。银行业金融机构在融资授信时要查询拟授信对象及其法定代表人、主要负责人、实际控制人、董事、监事、高级管理人员是否为失信被执行人，对拟授信对象为失信被执行人的，要从严审核。</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（六）特殊市场交易限制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2．使用国有林地限制。限制失信被执行人申报使用国有林地项目；限制其申报重点林业建设项目。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3．使用草原限制。限制失信被执行人申报草原征占用项目；限制其申报承担国家草原保护建设项目。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4．其他国有自然资源利用限制。限制失信被执行人申报水流、海域、无居民海岛、山岭、荒地、滩涂等国有自然资源利用项目以及重点自然资源保护建设项目。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（七）限制高消费及有关消费</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lastRenderedPageBreak/>
        <w:t>4．子女就读高收费学校限制。限制失信被执行人及失信被执行人的法定代表人、主要负责人、实际控制人、影响债务履行的直接责任人员以其财产支付子女入学就读高收费私立学校。</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5．购买具有现金价值保险限制。限制失信被执行人及失信被执行人的法定代表人、主要负责人、实际控制人、影响债务履行的直接责任人员支付高额保费购买具有现金价值的保险产品。</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（八）协助查询、控制及出境限制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协助人民法院依法查询失信被执行人身份、出入境证件信息及车辆信息，协助查封、扣押失信被执行人名下的车辆，协助查找、控制下落不明的失信被执行人，限制失信被执行人出境。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（九）加强日常监管检查</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（十）加大刑事惩戒力度</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公安、检察机关和人民法院对拒不执行生效判决、裁定以及其他妨碍执行构成犯罪的行为，要及时依法侦查、提起公诉和审判。</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（十一）鼓励其他方面限制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鼓励各级党政机关、人民团体、社会组织、企事业单位使用失信被执行人名单信息，结合各自主管领域、业务范围、经营活动，实施对失信被执行人的信用监督、警示和惩戒。</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三、加强信息公开与共享</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（一）失信信息公开</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（二）纳入政府政务公开</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（三）信用信息共享</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（四）共享体制机制建设</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lastRenderedPageBreak/>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四、完善相关制度机制</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（一）进一步提高执行查控工作能力</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2．拓展执行查控措施。人民法院要进一步拓展对被告和被执行人财产的查控手段和措施。研究制定被执行人财产报告制度、律师调查被执行人财产制度、公告悬赏制度、审计调查制度等财产</w:t>
      </w:r>
      <w:proofErr w:type="gramStart"/>
      <w:r w:rsidRPr="002F18F8">
        <w:rPr>
          <w:rFonts w:ascii="宋体" w:eastAsia="宋体" w:hAnsi="宋体" w:cs="宋体"/>
          <w:kern w:val="0"/>
          <w:sz w:val="24"/>
          <w:szCs w:val="24"/>
        </w:rPr>
        <w:t>查控制</w:t>
      </w:r>
      <w:proofErr w:type="gramEnd"/>
      <w:r w:rsidRPr="002F18F8">
        <w:rPr>
          <w:rFonts w:ascii="宋体" w:eastAsia="宋体" w:hAnsi="宋体" w:cs="宋体"/>
          <w:kern w:val="0"/>
          <w:sz w:val="24"/>
          <w:szCs w:val="24"/>
        </w:rPr>
        <w:t>度。</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（二）进一步完善失信被执行人名单制度</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1．完善名单纳入制度。各级人民法院要根据执行案件的办理权限，严格按照法定条件和程序决定是否将被执行人纳入失信名单。</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2．确保名单信息准确规范。人民法院要建立严格的操作规程和审核纠错机制，确保失信被执行人名单信息准确规范。</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3．风险提示与救济。在将被执行人纳入失信名单前，人民法院应当向被执行人发出风险提示通知。被执行人认为将其纳入失信名单错误的，可以自收到决定之日起10日内向</w:t>
      </w:r>
      <w:proofErr w:type="gramStart"/>
      <w:r w:rsidRPr="002F18F8">
        <w:rPr>
          <w:rFonts w:ascii="宋体" w:eastAsia="宋体" w:hAnsi="宋体" w:cs="宋体"/>
          <w:kern w:val="0"/>
          <w:sz w:val="24"/>
          <w:szCs w:val="24"/>
        </w:rPr>
        <w:t>作出</w:t>
      </w:r>
      <w:proofErr w:type="gramEnd"/>
      <w:r w:rsidRPr="002F18F8">
        <w:rPr>
          <w:rFonts w:ascii="宋体" w:eastAsia="宋体" w:hAnsi="宋体" w:cs="宋体"/>
          <w:kern w:val="0"/>
          <w:sz w:val="24"/>
          <w:szCs w:val="24"/>
        </w:rPr>
        <w:t>决定的人民法院申请纠正，人民法院应当自收到申请之日起3日内审查，理由成立的，予以撤销；理由不成立的，予以驳回。被执行人对驳回不服的，可以向上一级人民法院申请复议。</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6．责任追究。进一步完善责任追究制度，对应当纳入而不纳入、违法纳入以及不按规定屏蔽、撤销失信名单等行为，要按照有关规定追究责任。</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（三）进一步完善党政机关支持人民法院执行工作制度</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1．进一步加强协助执行工作。各地区各部门要按照建立和</w:t>
      </w:r>
      <w:proofErr w:type="gramStart"/>
      <w:r w:rsidRPr="002F18F8">
        <w:rPr>
          <w:rFonts w:ascii="宋体" w:eastAsia="宋体" w:hAnsi="宋体" w:cs="宋体"/>
          <w:kern w:val="0"/>
          <w:sz w:val="24"/>
          <w:szCs w:val="24"/>
        </w:rPr>
        <w:t>完善执行</w:t>
      </w:r>
      <w:proofErr w:type="gramEnd"/>
      <w:r w:rsidRPr="002F18F8">
        <w:rPr>
          <w:rFonts w:ascii="宋体" w:eastAsia="宋体" w:hAnsi="宋体" w:cs="宋体"/>
          <w:kern w:val="0"/>
          <w:sz w:val="24"/>
          <w:szCs w:val="24"/>
        </w:rPr>
        <w:t>联动机制的有关要求，进一步抓好落实工作。各级执行联动机制工作领导小组要制定具体的工作机制、程序，明确各协助执行单位的具体职责。强化协助执行工作考核与问</w:t>
      </w:r>
      <w:r w:rsidRPr="002F18F8">
        <w:rPr>
          <w:rFonts w:ascii="宋体" w:eastAsia="宋体" w:hAnsi="宋体" w:cs="宋体"/>
          <w:kern w:val="0"/>
          <w:sz w:val="24"/>
          <w:szCs w:val="24"/>
        </w:rPr>
        <w:lastRenderedPageBreak/>
        <w:t>责，组织人事、政法等部门要建立协助执行定期联合通报机制，对协助执行不力的单位予以通报和追责。</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2．严格落实执行工作综治考核责任。将失信被执行人联合惩戒情况作为社会治安综合治理目标责任考核的重要内容。严格落实人民法院执行工作在社会治安综合治理目标责任考核中的有关要求。</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3．强化对党政机关干扰执行的责任追究。党政机关要自觉履行人民法院生效裁判，并将落实情况</w:t>
      </w:r>
      <w:proofErr w:type="gramStart"/>
      <w:r w:rsidRPr="002F18F8">
        <w:rPr>
          <w:rFonts w:ascii="宋体" w:eastAsia="宋体" w:hAnsi="宋体" w:cs="宋体"/>
          <w:kern w:val="0"/>
          <w:sz w:val="24"/>
          <w:szCs w:val="24"/>
        </w:rPr>
        <w:t>纳入党风</w:t>
      </w:r>
      <w:proofErr w:type="gramEnd"/>
      <w:r w:rsidRPr="002F18F8">
        <w:rPr>
          <w:rFonts w:ascii="宋体" w:eastAsia="宋体" w:hAnsi="宋体" w:cs="宋体"/>
          <w:kern w:val="0"/>
          <w:sz w:val="24"/>
          <w:szCs w:val="24"/>
        </w:rPr>
        <w:t>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五、加强组织领导</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（一）加强组织实施</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各地区各部门要高度重视对失信被执行人信用监督、警示和惩戒工作，将其作为推进全面依法治国、推进社会信用体系建设、培育和</w:t>
      </w:r>
      <w:proofErr w:type="gramStart"/>
      <w:r w:rsidRPr="002F18F8">
        <w:rPr>
          <w:rFonts w:ascii="宋体" w:eastAsia="宋体" w:hAnsi="宋体" w:cs="宋体"/>
          <w:kern w:val="0"/>
          <w:sz w:val="24"/>
          <w:szCs w:val="24"/>
        </w:rPr>
        <w:t>践行</w:t>
      </w:r>
      <w:proofErr w:type="gramEnd"/>
      <w:r w:rsidRPr="002F18F8">
        <w:rPr>
          <w:rFonts w:ascii="宋体" w:eastAsia="宋体" w:hAnsi="宋体" w:cs="宋体"/>
          <w:kern w:val="0"/>
          <w:sz w:val="24"/>
          <w:szCs w:val="24"/>
        </w:rPr>
        <w:t>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（二）强化工作保障</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各地区各部门要认真落实中央关于解决人民法院执行难问题的要求，强化执行机构的职能作用，配齐配</w:t>
      </w:r>
      <w:proofErr w:type="gramStart"/>
      <w:r w:rsidRPr="002F18F8">
        <w:rPr>
          <w:rFonts w:ascii="宋体" w:eastAsia="宋体" w:hAnsi="宋体" w:cs="宋体"/>
          <w:kern w:val="0"/>
          <w:sz w:val="24"/>
          <w:szCs w:val="24"/>
        </w:rPr>
        <w:t>强执行</w:t>
      </w:r>
      <w:proofErr w:type="gramEnd"/>
      <w:r w:rsidRPr="002F18F8">
        <w:rPr>
          <w:rFonts w:ascii="宋体" w:eastAsia="宋体" w:hAnsi="宋体" w:cs="宋体"/>
          <w:kern w:val="0"/>
          <w:sz w:val="24"/>
          <w:szCs w:val="24"/>
        </w:rPr>
        <w:t>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（三）完善相关法律规定</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加快推进强制执行法等相关法律法规、司法解释及其他规范性文件的</w:t>
      </w:r>
      <w:proofErr w:type="gramStart"/>
      <w:r w:rsidRPr="002F18F8">
        <w:rPr>
          <w:rFonts w:ascii="宋体" w:eastAsia="宋体" w:hAnsi="宋体" w:cs="宋体"/>
          <w:kern w:val="0"/>
          <w:sz w:val="24"/>
          <w:szCs w:val="24"/>
        </w:rPr>
        <w:t>立改废释</w:t>
      </w:r>
      <w:proofErr w:type="gramEnd"/>
      <w:r w:rsidRPr="002F18F8">
        <w:rPr>
          <w:rFonts w:ascii="宋体" w:eastAsia="宋体" w:hAnsi="宋体" w:cs="宋体"/>
          <w:kern w:val="0"/>
          <w:sz w:val="24"/>
          <w:szCs w:val="24"/>
        </w:rPr>
        <w:t>工作，及时将加强执行工作、推进执行联动、信用信息公开和共享、完善失信被执行人名单制度、加强联合惩戒等工作法律化、制度化，确保法律规范的科学性、针对性、实用性。</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（四）加大宣传力度</w:t>
      </w:r>
    </w:p>
    <w:p w:rsidR="002F18F8" w:rsidRPr="002F18F8" w:rsidRDefault="002F18F8" w:rsidP="002F18F8">
      <w:pPr>
        <w:widowControl/>
        <w:jc w:val="left"/>
        <w:rPr>
          <w:rFonts w:ascii="宋体" w:eastAsia="宋体" w:hAnsi="宋体" w:cs="宋体"/>
          <w:kern w:val="0"/>
          <w:sz w:val="24"/>
          <w:szCs w:val="24"/>
        </w:rPr>
      </w:pPr>
      <w:r w:rsidRPr="002F18F8">
        <w:rPr>
          <w:rFonts w:ascii="宋体" w:eastAsia="宋体" w:hAnsi="宋体" w:cs="宋体"/>
          <w:kern w:val="0"/>
          <w:sz w:val="24"/>
          <w:szCs w:val="24"/>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r w:rsidRPr="002F18F8">
        <w:rPr>
          <w:rFonts w:ascii="宋体" w:eastAsia="宋体" w:hAnsi="宋体" w:cs="宋体"/>
          <w:kern w:val="0"/>
          <w:sz w:val="24"/>
          <w:szCs w:val="24"/>
          <w:vertAlign w:val="superscript"/>
        </w:rPr>
        <w:t xml:space="preserve"> [1]</w:t>
      </w:r>
      <w:bookmarkStart w:id="1" w:name="ref_[1]_20824227"/>
      <w:r w:rsidRPr="002F18F8">
        <w:rPr>
          <w:rFonts w:ascii="宋体" w:eastAsia="宋体" w:hAnsi="宋体" w:cs="宋体"/>
          <w:kern w:val="0"/>
          <w:sz w:val="24"/>
          <w:szCs w:val="24"/>
        </w:rPr>
        <w:t> </w:t>
      </w:r>
      <w:bookmarkEnd w:id="1"/>
      <w:r w:rsidRPr="002F18F8">
        <w:rPr>
          <w:rFonts w:ascii="宋体" w:eastAsia="宋体" w:hAnsi="宋体" w:cs="宋体"/>
          <w:kern w:val="0"/>
          <w:sz w:val="24"/>
          <w:szCs w:val="24"/>
        </w:rPr>
        <w:t xml:space="preserve"> </w:t>
      </w:r>
    </w:p>
    <w:p w:rsidR="006858DC" w:rsidRPr="002F18F8" w:rsidRDefault="006858DC" w:rsidP="002F18F8"/>
    <w:sectPr w:rsidR="006858DC" w:rsidRPr="002F1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F8"/>
    <w:rsid w:val="001C3CF8"/>
    <w:rsid w:val="002F18F8"/>
    <w:rsid w:val="006858DC"/>
    <w:rsid w:val="008E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56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5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93672">
      <w:bodyDiv w:val="1"/>
      <w:marLeft w:val="0"/>
      <w:marRight w:val="0"/>
      <w:marTop w:val="0"/>
      <w:marBottom w:val="0"/>
      <w:divBdr>
        <w:top w:val="none" w:sz="0" w:space="0" w:color="auto"/>
        <w:left w:val="none" w:sz="0" w:space="0" w:color="auto"/>
        <w:bottom w:val="none" w:sz="0" w:space="0" w:color="auto"/>
        <w:right w:val="none" w:sz="0" w:space="0" w:color="auto"/>
      </w:divBdr>
      <w:divsChild>
        <w:div w:id="1215314740">
          <w:marLeft w:val="0"/>
          <w:marRight w:val="0"/>
          <w:marTop w:val="0"/>
          <w:marBottom w:val="0"/>
          <w:divBdr>
            <w:top w:val="none" w:sz="0" w:space="0" w:color="auto"/>
            <w:left w:val="none" w:sz="0" w:space="0" w:color="auto"/>
            <w:bottom w:val="none" w:sz="0" w:space="0" w:color="auto"/>
            <w:right w:val="none" w:sz="0" w:space="0" w:color="auto"/>
          </w:divBdr>
        </w:div>
        <w:div w:id="1103261008">
          <w:marLeft w:val="0"/>
          <w:marRight w:val="0"/>
          <w:marTop w:val="0"/>
          <w:marBottom w:val="0"/>
          <w:divBdr>
            <w:top w:val="none" w:sz="0" w:space="0" w:color="auto"/>
            <w:left w:val="none" w:sz="0" w:space="0" w:color="auto"/>
            <w:bottom w:val="none" w:sz="0" w:space="0" w:color="auto"/>
            <w:right w:val="none" w:sz="0" w:space="0" w:color="auto"/>
          </w:divBdr>
        </w:div>
        <w:div w:id="846990453">
          <w:marLeft w:val="0"/>
          <w:marRight w:val="0"/>
          <w:marTop w:val="0"/>
          <w:marBottom w:val="0"/>
          <w:divBdr>
            <w:top w:val="none" w:sz="0" w:space="0" w:color="auto"/>
            <w:left w:val="none" w:sz="0" w:space="0" w:color="auto"/>
            <w:bottom w:val="none" w:sz="0" w:space="0" w:color="auto"/>
            <w:right w:val="none" w:sz="0" w:space="0" w:color="auto"/>
          </w:divBdr>
        </w:div>
        <w:div w:id="2074160631">
          <w:marLeft w:val="0"/>
          <w:marRight w:val="0"/>
          <w:marTop w:val="0"/>
          <w:marBottom w:val="0"/>
          <w:divBdr>
            <w:top w:val="none" w:sz="0" w:space="0" w:color="auto"/>
            <w:left w:val="none" w:sz="0" w:space="0" w:color="auto"/>
            <w:bottom w:val="none" w:sz="0" w:space="0" w:color="auto"/>
            <w:right w:val="none" w:sz="0" w:space="0" w:color="auto"/>
          </w:divBdr>
        </w:div>
        <w:div w:id="74211429">
          <w:marLeft w:val="0"/>
          <w:marRight w:val="0"/>
          <w:marTop w:val="0"/>
          <w:marBottom w:val="0"/>
          <w:divBdr>
            <w:top w:val="none" w:sz="0" w:space="0" w:color="auto"/>
            <w:left w:val="none" w:sz="0" w:space="0" w:color="auto"/>
            <w:bottom w:val="none" w:sz="0" w:space="0" w:color="auto"/>
            <w:right w:val="none" w:sz="0" w:space="0" w:color="auto"/>
          </w:divBdr>
        </w:div>
        <w:div w:id="825511579">
          <w:marLeft w:val="0"/>
          <w:marRight w:val="0"/>
          <w:marTop w:val="0"/>
          <w:marBottom w:val="0"/>
          <w:divBdr>
            <w:top w:val="none" w:sz="0" w:space="0" w:color="auto"/>
            <w:left w:val="none" w:sz="0" w:space="0" w:color="auto"/>
            <w:bottom w:val="none" w:sz="0" w:space="0" w:color="auto"/>
            <w:right w:val="none" w:sz="0" w:space="0" w:color="auto"/>
          </w:divBdr>
        </w:div>
        <w:div w:id="701370649">
          <w:marLeft w:val="0"/>
          <w:marRight w:val="0"/>
          <w:marTop w:val="0"/>
          <w:marBottom w:val="0"/>
          <w:divBdr>
            <w:top w:val="none" w:sz="0" w:space="0" w:color="auto"/>
            <w:left w:val="none" w:sz="0" w:space="0" w:color="auto"/>
            <w:bottom w:val="none" w:sz="0" w:space="0" w:color="auto"/>
            <w:right w:val="none" w:sz="0" w:space="0" w:color="auto"/>
          </w:divBdr>
        </w:div>
        <w:div w:id="1977488222">
          <w:marLeft w:val="0"/>
          <w:marRight w:val="0"/>
          <w:marTop w:val="0"/>
          <w:marBottom w:val="0"/>
          <w:divBdr>
            <w:top w:val="none" w:sz="0" w:space="0" w:color="auto"/>
            <w:left w:val="none" w:sz="0" w:space="0" w:color="auto"/>
            <w:bottom w:val="none" w:sz="0" w:space="0" w:color="auto"/>
            <w:right w:val="none" w:sz="0" w:space="0" w:color="auto"/>
          </w:divBdr>
        </w:div>
        <w:div w:id="2059550684">
          <w:marLeft w:val="0"/>
          <w:marRight w:val="0"/>
          <w:marTop w:val="0"/>
          <w:marBottom w:val="0"/>
          <w:divBdr>
            <w:top w:val="none" w:sz="0" w:space="0" w:color="auto"/>
            <w:left w:val="none" w:sz="0" w:space="0" w:color="auto"/>
            <w:bottom w:val="none" w:sz="0" w:space="0" w:color="auto"/>
            <w:right w:val="none" w:sz="0" w:space="0" w:color="auto"/>
          </w:divBdr>
        </w:div>
        <w:div w:id="21782021">
          <w:marLeft w:val="0"/>
          <w:marRight w:val="0"/>
          <w:marTop w:val="0"/>
          <w:marBottom w:val="0"/>
          <w:divBdr>
            <w:top w:val="none" w:sz="0" w:space="0" w:color="auto"/>
            <w:left w:val="none" w:sz="0" w:space="0" w:color="auto"/>
            <w:bottom w:val="none" w:sz="0" w:space="0" w:color="auto"/>
            <w:right w:val="none" w:sz="0" w:space="0" w:color="auto"/>
          </w:divBdr>
        </w:div>
        <w:div w:id="237402975">
          <w:marLeft w:val="0"/>
          <w:marRight w:val="0"/>
          <w:marTop w:val="0"/>
          <w:marBottom w:val="0"/>
          <w:divBdr>
            <w:top w:val="none" w:sz="0" w:space="0" w:color="auto"/>
            <w:left w:val="none" w:sz="0" w:space="0" w:color="auto"/>
            <w:bottom w:val="none" w:sz="0" w:space="0" w:color="auto"/>
            <w:right w:val="none" w:sz="0" w:space="0" w:color="auto"/>
          </w:divBdr>
        </w:div>
        <w:div w:id="380784859">
          <w:marLeft w:val="0"/>
          <w:marRight w:val="0"/>
          <w:marTop w:val="0"/>
          <w:marBottom w:val="0"/>
          <w:divBdr>
            <w:top w:val="none" w:sz="0" w:space="0" w:color="auto"/>
            <w:left w:val="none" w:sz="0" w:space="0" w:color="auto"/>
            <w:bottom w:val="none" w:sz="0" w:space="0" w:color="auto"/>
            <w:right w:val="none" w:sz="0" w:space="0" w:color="auto"/>
          </w:divBdr>
        </w:div>
        <w:div w:id="24212682">
          <w:marLeft w:val="0"/>
          <w:marRight w:val="0"/>
          <w:marTop w:val="0"/>
          <w:marBottom w:val="0"/>
          <w:divBdr>
            <w:top w:val="none" w:sz="0" w:space="0" w:color="auto"/>
            <w:left w:val="none" w:sz="0" w:space="0" w:color="auto"/>
            <w:bottom w:val="none" w:sz="0" w:space="0" w:color="auto"/>
            <w:right w:val="none" w:sz="0" w:space="0" w:color="auto"/>
          </w:divBdr>
        </w:div>
        <w:div w:id="116728092">
          <w:marLeft w:val="0"/>
          <w:marRight w:val="0"/>
          <w:marTop w:val="0"/>
          <w:marBottom w:val="0"/>
          <w:divBdr>
            <w:top w:val="none" w:sz="0" w:space="0" w:color="auto"/>
            <w:left w:val="none" w:sz="0" w:space="0" w:color="auto"/>
            <w:bottom w:val="none" w:sz="0" w:space="0" w:color="auto"/>
            <w:right w:val="none" w:sz="0" w:space="0" w:color="auto"/>
          </w:divBdr>
        </w:div>
        <w:div w:id="1279216240">
          <w:marLeft w:val="0"/>
          <w:marRight w:val="0"/>
          <w:marTop w:val="0"/>
          <w:marBottom w:val="0"/>
          <w:divBdr>
            <w:top w:val="none" w:sz="0" w:space="0" w:color="auto"/>
            <w:left w:val="none" w:sz="0" w:space="0" w:color="auto"/>
            <w:bottom w:val="none" w:sz="0" w:space="0" w:color="auto"/>
            <w:right w:val="none" w:sz="0" w:space="0" w:color="auto"/>
          </w:divBdr>
        </w:div>
        <w:div w:id="1408116077">
          <w:marLeft w:val="0"/>
          <w:marRight w:val="0"/>
          <w:marTop w:val="0"/>
          <w:marBottom w:val="0"/>
          <w:divBdr>
            <w:top w:val="none" w:sz="0" w:space="0" w:color="auto"/>
            <w:left w:val="none" w:sz="0" w:space="0" w:color="auto"/>
            <w:bottom w:val="none" w:sz="0" w:space="0" w:color="auto"/>
            <w:right w:val="none" w:sz="0" w:space="0" w:color="auto"/>
          </w:divBdr>
        </w:div>
        <w:div w:id="1404177167">
          <w:marLeft w:val="0"/>
          <w:marRight w:val="0"/>
          <w:marTop w:val="0"/>
          <w:marBottom w:val="0"/>
          <w:divBdr>
            <w:top w:val="none" w:sz="0" w:space="0" w:color="auto"/>
            <w:left w:val="none" w:sz="0" w:space="0" w:color="auto"/>
            <w:bottom w:val="none" w:sz="0" w:space="0" w:color="auto"/>
            <w:right w:val="none" w:sz="0" w:space="0" w:color="auto"/>
          </w:divBdr>
        </w:div>
        <w:div w:id="1159149979">
          <w:marLeft w:val="0"/>
          <w:marRight w:val="0"/>
          <w:marTop w:val="0"/>
          <w:marBottom w:val="0"/>
          <w:divBdr>
            <w:top w:val="none" w:sz="0" w:space="0" w:color="auto"/>
            <w:left w:val="none" w:sz="0" w:space="0" w:color="auto"/>
            <w:bottom w:val="none" w:sz="0" w:space="0" w:color="auto"/>
            <w:right w:val="none" w:sz="0" w:space="0" w:color="auto"/>
          </w:divBdr>
        </w:div>
        <w:div w:id="392390084">
          <w:marLeft w:val="0"/>
          <w:marRight w:val="0"/>
          <w:marTop w:val="0"/>
          <w:marBottom w:val="0"/>
          <w:divBdr>
            <w:top w:val="none" w:sz="0" w:space="0" w:color="auto"/>
            <w:left w:val="none" w:sz="0" w:space="0" w:color="auto"/>
            <w:bottom w:val="none" w:sz="0" w:space="0" w:color="auto"/>
            <w:right w:val="none" w:sz="0" w:space="0" w:color="auto"/>
          </w:divBdr>
        </w:div>
        <w:div w:id="1134255242">
          <w:marLeft w:val="0"/>
          <w:marRight w:val="0"/>
          <w:marTop w:val="0"/>
          <w:marBottom w:val="0"/>
          <w:divBdr>
            <w:top w:val="none" w:sz="0" w:space="0" w:color="auto"/>
            <w:left w:val="none" w:sz="0" w:space="0" w:color="auto"/>
            <w:bottom w:val="none" w:sz="0" w:space="0" w:color="auto"/>
            <w:right w:val="none" w:sz="0" w:space="0" w:color="auto"/>
          </w:divBdr>
        </w:div>
        <w:div w:id="1352609005">
          <w:marLeft w:val="0"/>
          <w:marRight w:val="0"/>
          <w:marTop w:val="0"/>
          <w:marBottom w:val="0"/>
          <w:divBdr>
            <w:top w:val="none" w:sz="0" w:space="0" w:color="auto"/>
            <w:left w:val="none" w:sz="0" w:space="0" w:color="auto"/>
            <w:bottom w:val="none" w:sz="0" w:space="0" w:color="auto"/>
            <w:right w:val="none" w:sz="0" w:space="0" w:color="auto"/>
          </w:divBdr>
        </w:div>
        <w:div w:id="469641309">
          <w:marLeft w:val="0"/>
          <w:marRight w:val="0"/>
          <w:marTop w:val="0"/>
          <w:marBottom w:val="0"/>
          <w:divBdr>
            <w:top w:val="none" w:sz="0" w:space="0" w:color="auto"/>
            <w:left w:val="none" w:sz="0" w:space="0" w:color="auto"/>
            <w:bottom w:val="none" w:sz="0" w:space="0" w:color="auto"/>
            <w:right w:val="none" w:sz="0" w:space="0" w:color="auto"/>
          </w:divBdr>
        </w:div>
        <w:div w:id="2046103549">
          <w:marLeft w:val="0"/>
          <w:marRight w:val="0"/>
          <w:marTop w:val="0"/>
          <w:marBottom w:val="0"/>
          <w:divBdr>
            <w:top w:val="none" w:sz="0" w:space="0" w:color="auto"/>
            <w:left w:val="none" w:sz="0" w:space="0" w:color="auto"/>
            <w:bottom w:val="none" w:sz="0" w:space="0" w:color="auto"/>
            <w:right w:val="none" w:sz="0" w:space="0" w:color="auto"/>
          </w:divBdr>
        </w:div>
        <w:div w:id="1736246871">
          <w:marLeft w:val="0"/>
          <w:marRight w:val="0"/>
          <w:marTop w:val="0"/>
          <w:marBottom w:val="0"/>
          <w:divBdr>
            <w:top w:val="none" w:sz="0" w:space="0" w:color="auto"/>
            <w:left w:val="none" w:sz="0" w:space="0" w:color="auto"/>
            <w:bottom w:val="none" w:sz="0" w:space="0" w:color="auto"/>
            <w:right w:val="none" w:sz="0" w:space="0" w:color="auto"/>
          </w:divBdr>
        </w:div>
        <w:div w:id="1410031590">
          <w:marLeft w:val="0"/>
          <w:marRight w:val="0"/>
          <w:marTop w:val="0"/>
          <w:marBottom w:val="0"/>
          <w:divBdr>
            <w:top w:val="none" w:sz="0" w:space="0" w:color="auto"/>
            <w:left w:val="none" w:sz="0" w:space="0" w:color="auto"/>
            <w:bottom w:val="none" w:sz="0" w:space="0" w:color="auto"/>
            <w:right w:val="none" w:sz="0" w:space="0" w:color="auto"/>
          </w:divBdr>
        </w:div>
        <w:div w:id="636880533">
          <w:marLeft w:val="0"/>
          <w:marRight w:val="0"/>
          <w:marTop w:val="0"/>
          <w:marBottom w:val="0"/>
          <w:divBdr>
            <w:top w:val="none" w:sz="0" w:space="0" w:color="auto"/>
            <w:left w:val="none" w:sz="0" w:space="0" w:color="auto"/>
            <w:bottom w:val="none" w:sz="0" w:space="0" w:color="auto"/>
            <w:right w:val="none" w:sz="0" w:space="0" w:color="auto"/>
          </w:divBdr>
        </w:div>
        <w:div w:id="2031057152">
          <w:marLeft w:val="0"/>
          <w:marRight w:val="0"/>
          <w:marTop w:val="0"/>
          <w:marBottom w:val="0"/>
          <w:divBdr>
            <w:top w:val="none" w:sz="0" w:space="0" w:color="auto"/>
            <w:left w:val="none" w:sz="0" w:space="0" w:color="auto"/>
            <w:bottom w:val="none" w:sz="0" w:space="0" w:color="auto"/>
            <w:right w:val="none" w:sz="0" w:space="0" w:color="auto"/>
          </w:divBdr>
        </w:div>
        <w:div w:id="445856858">
          <w:marLeft w:val="0"/>
          <w:marRight w:val="0"/>
          <w:marTop w:val="0"/>
          <w:marBottom w:val="0"/>
          <w:divBdr>
            <w:top w:val="none" w:sz="0" w:space="0" w:color="auto"/>
            <w:left w:val="none" w:sz="0" w:space="0" w:color="auto"/>
            <w:bottom w:val="none" w:sz="0" w:space="0" w:color="auto"/>
            <w:right w:val="none" w:sz="0" w:space="0" w:color="auto"/>
          </w:divBdr>
        </w:div>
        <w:div w:id="1664888651">
          <w:marLeft w:val="0"/>
          <w:marRight w:val="0"/>
          <w:marTop w:val="0"/>
          <w:marBottom w:val="0"/>
          <w:divBdr>
            <w:top w:val="none" w:sz="0" w:space="0" w:color="auto"/>
            <w:left w:val="none" w:sz="0" w:space="0" w:color="auto"/>
            <w:bottom w:val="none" w:sz="0" w:space="0" w:color="auto"/>
            <w:right w:val="none" w:sz="0" w:space="0" w:color="auto"/>
          </w:divBdr>
        </w:div>
        <w:div w:id="1432319343">
          <w:marLeft w:val="0"/>
          <w:marRight w:val="0"/>
          <w:marTop w:val="0"/>
          <w:marBottom w:val="0"/>
          <w:divBdr>
            <w:top w:val="none" w:sz="0" w:space="0" w:color="auto"/>
            <w:left w:val="none" w:sz="0" w:space="0" w:color="auto"/>
            <w:bottom w:val="none" w:sz="0" w:space="0" w:color="auto"/>
            <w:right w:val="none" w:sz="0" w:space="0" w:color="auto"/>
          </w:divBdr>
        </w:div>
        <w:div w:id="1536115395">
          <w:marLeft w:val="0"/>
          <w:marRight w:val="0"/>
          <w:marTop w:val="0"/>
          <w:marBottom w:val="0"/>
          <w:divBdr>
            <w:top w:val="none" w:sz="0" w:space="0" w:color="auto"/>
            <w:left w:val="none" w:sz="0" w:space="0" w:color="auto"/>
            <w:bottom w:val="none" w:sz="0" w:space="0" w:color="auto"/>
            <w:right w:val="none" w:sz="0" w:space="0" w:color="auto"/>
          </w:divBdr>
        </w:div>
        <w:div w:id="1566065134">
          <w:marLeft w:val="0"/>
          <w:marRight w:val="0"/>
          <w:marTop w:val="0"/>
          <w:marBottom w:val="0"/>
          <w:divBdr>
            <w:top w:val="none" w:sz="0" w:space="0" w:color="auto"/>
            <w:left w:val="none" w:sz="0" w:space="0" w:color="auto"/>
            <w:bottom w:val="none" w:sz="0" w:space="0" w:color="auto"/>
            <w:right w:val="none" w:sz="0" w:space="0" w:color="auto"/>
          </w:divBdr>
        </w:div>
        <w:div w:id="1578595375">
          <w:marLeft w:val="0"/>
          <w:marRight w:val="0"/>
          <w:marTop w:val="0"/>
          <w:marBottom w:val="0"/>
          <w:divBdr>
            <w:top w:val="none" w:sz="0" w:space="0" w:color="auto"/>
            <w:left w:val="none" w:sz="0" w:space="0" w:color="auto"/>
            <w:bottom w:val="none" w:sz="0" w:space="0" w:color="auto"/>
            <w:right w:val="none" w:sz="0" w:space="0" w:color="auto"/>
          </w:divBdr>
        </w:div>
        <w:div w:id="1661930846">
          <w:marLeft w:val="0"/>
          <w:marRight w:val="0"/>
          <w:marTop w:val="0"/>
          <w:marBottom w:val="0"/>
          <w:divBdr>
            <w:top w:val="none" w:sz="0" w:space="0" w:color="auto"/>
            <w:left w:val="none" w:sz="0" w:space="0" w:color="auto"/>
            <w:bottom w:val="none" w:sz="0" w:space="0" w:color="auto"/>
            <w:right w:val="none" w:sz="0" w:space="0" w:color="auto"/>
          </w:divBdr>
        </w:div>
        <w:div w:id="1631282598">
          <w:marLeft w:val="0"/>
          <w:marRight w:val="0"/>
          <w:marTop w:val="0"/>
          <w:marBottom w:val="0"/>
          <w:divBdr>
            <w:top w:val="none" w:sz="0" w:space="0" w:color="auto"/>
            <w:left w:val="none" w:sz="0" w:space="0" w:color="auto"/>
            <w:bottom w:val="none" w:sz="0" w:space="0" w:color="auto"/>
            <w:right w:val="none" w:sz="0" w:space="0" w:color="auto"/>
          </w:divBdr>
        </w:div>
        <w:div w:id="1185679908">
          <w:marLeft w:val="0"/>
          <w:marRight w:val="0"/>
          <w:marTop w:val="0"/>
          <w:marBottom w:val="0"/>
          <w:divBdr>
            <w:top w:val="none" w:sz="0" w:space="0" w:color="auto"/>
            <w:left w:val="none" w:sz="0" w:space="0" w:color="auto"/>
            <w:bottom w:val="none" w:sz="0" w:space="0" w:color="auto"/>
            <w:right w:val="none" w:sz="0" w:space="0" w:color="auto"/>
          </w:divBdr>
        </w:div>
        <w:div w:id="135488194">
          <w:marLeft w:val="0"/>
          <w:marRight w:val="0"/>
          <w:marTop w:val="0"/>
          <w:marBottom w:val="0"/>
          <w:divBdr>
            <w:top w:val="none" w:sz="0" w:space="0" w:color="auto"/>
            <w:left w:val="none" w:sz="0" w:space="0" w:color="auto"/>
            <w:bottom w:val="none" w:sz="0" w:space="0" w:color="auto"/>
            <w:right w:val="none" w:sz="0" w:space="0" w:color="auto"/>
          </w:divBdr>
        </w:div>
        <w:div w:id="1084424546">
          <w:marLeft w:val="0"/>
          <w:marRight w:val="0"/>
          <w:marTop w:val="0"/>
          <w:marBottom w:val="0"/>
          <w:divBdr>
            <w:top w:val="none" w:sz="0" w:space="0" w:color="auto"/>
            <w:left w:val="none" w:sz="0" w:space="0" w:color="auto"/>
            <w:bottom w:val="none" w:sz="0" w:space="0" w:color="auto"/>
            <w:right w:val="none" w:sz="0" w:space="0" w:color="auto"/>
          </w:divBdr>
        </w:div>
        <w:div w:id="391005899">
          <w:marLeft w:val="0"/>
          <w:marRight w:val="0"/>
          <w:marTop w:val="0"/>
          <w:marBottom w:val="0"/>
          <w:divBdr>
            <w:top w:val="none" w:sz="0" w:space="0" w:color="auto"/>
            <w:left w:val="none" w:sz="0" w:space="0" w:color="auto"/>
            <w:bottom w:val="none" w:sz="0" w:space="0" w:color="auto"/>
            <w:right w:val="none" w:sz="0" w:space="0" w:color="auto"/>
          </w:divBdr>
        </w:div>
        <w:div w:id="2004699212">
          <w:marLeft w:val="0"/>
          <w:marRight w:val="0"/>
          <w:marTop w:val="0"/>
          <w:marBottom w:val="0"/>
          <w:divBdr>
            <w:top w:val="none" w:sz="0" w:space="0" w:color="auto"/>
            <w:left w:val="none" w:sz="0" w:space="0" w:color="auto"/>
            <w:bottom w:val="none" w:sz="0" w:space="0" w:color="auto"/>
            <w:right w:val="none" w:sz="0" w:space="0" w:color="auto"/>
          </w:divBdr>
        </w:div>
        <w:div w:id="405764760">
          <w:marLeft w:val="0"/>
          <w:marRight w:val="0"/>
          <w:marTop w:val="0"/>
          <w:marBottom w:val="0"/>
          <w:divBdr>
            <w:top w:val="none" w:sz="0" w:space="0" w:color="auto"/>
            <w:left w:val="none" w:sz="0" w:space="0" w:color="auto"/>
            <w:bottom w:val="none" w:sz="0" w:space="0" w:color="auto"/>
            <w:right w:val="none" w:sz="0" w:space="0" w:color="auto"/>
          </w:divBdr>
        </w:div>
        <w:div w:id="1115443753">
          <w:marLeft w:val="0"/>
          <w:marRight w:val="0"/>
          <w:marTop w:val="0"/>
          <w:marBottom w:val="0"/>
          <w:divBdr>
            <w:top w:val="none" w:sz="0" w:space="0" w:color="auto"/>
            <w:left w:val="none" w:sz="0" w:space="0" w:color="auto"/>
            <w:bottom w:val="none" w:sz="0" w:space="0" w:color="auto"/>
            <w:right w:val="none" w:sz="0" w:space="0" w:color="auto"/>
          </w:divBdr>
        </w:div>
        <w:div w:id="272246417">
          <w:marLeft w:val="0"/>
          <w:marRight w:val="0"/>
          <w:marTop w:val="0"/>
          <w:marBottom w:val="0"/>
          <w:divBdr>
            <w:top w:val="none" w:sz="0" w:space="0" w:color="auto"/>
            <w:left w:val="none" w:sz="0" w:space="0" w:color="auto"/>
            <w:bottom w:val="none" w:sz="0" w:space="0" w:color="auto"/>
            <w:right w:val="none" w:sz="0" w:space="0" w:color="auto"/>
          </w:divBdr>
        </w:div>
        <w:div w:id="674959732">
          <w:marLeft w:val="0"/>
          <w:marRight w:val="0"/>
          <w:marTop w:val="0"/>
          <w:marBottom w:val="0"/>
          <w:divBdr>
            <w:top w:val="none" w:sz="0" w:space="0" w:color="auto"/>
            <w:left w:val="none" w:sz="0" w:space="0" w:color="auto"/>
            <w:bottom w:val="none" w:sz="0" w:space="0" w:color="auto"/>
            <w:right w:val="none" w:sz="0" w:space="0" w:color="auto"/>
          </w:divBdr>
        </w:div>
        <w:div w:id="470946396">
          <w:marLeft w:val="0"/>
          <w:marRight w:val="0"/>
          <w:marTop w:val="0"/>
          <w:marBottom w:val="0"/>
          <w:divBdr>
            <w:top w:val="none" w:sz="0" w:space="0" w:color="auto"/>
            <w:left w:val="none" w:sz="0" w:space="0" w:color="auto"/>
            <w:bottom w:val="none" w:sz="0" w:space="0" w:color="auto"/>
            <w:right w:val="none" w:sz="0" w:space="0" w:color="auto"/>
          </w:divBdr>
        </w:div>
        <w:div w:id="1754622627">
          <w:marLeft w:val="0"/>
          <w:marRight w:val="0"/>
          <w:marTop w:val="0"/>
          <w:marBottom w:val="0"/>
          <w:divBdr>
            <w:top w:val="none" w:sz="0" w:space="0" w:color="auto"/>
            <w:left w:val="none" w:sz="0" w:space="0" w:color="auto"/>
            <w:bottom w:val="none" w:sz="0" w:space="0" w:color="auto"/>
            <w:right w:val="none" w:sz="0" w:space="0" w:color="auto"/>
          </w:divBdr>
        </w:div>
        <w:div w:id="637953380">
          <w:marLeft w:val="0"/>
          <w:marRight w:val="0"/>
          <w:marTop w:val="0"/>
          <w:marBottom w:val="0"/>
          <w:divBdr>
            <w:top w:val="none" w:sz="0" w:space="0" w:color="auto"/>
            <w:left w:val="none" w:sz="0" w:space="0" w:color="auto"/>
            <w:bottom w:val="none" w:sz="0" w:space="0" w:color="auto"/>
            <w:right w:val="none" w:sz="0" w:space="0" w:color="auto"/>
          </w:divBdr>
        </w:div>
        <w:div w:id="1258102166">
          <w:marLeft w:val="0"/>
          <w:marRight w:val="0"/>
          <w:marTop w:val="0"/>
          <w:marBottom w:val="0"/>
          <w:divBdr>
            <w:top w:val="none" w:sz="0" w:space="0" w:color="auto"/>
            <w:left w:val="none" w:sz="0" w:space="0" w:color="auto"/>
            <w:bottom w:val="none" w:sz="0" w:space="0" w:color="auto"/>
            <w:right w:val="none" w:sz="0" w:space="0" w:color="auto"/>
          </w:divBdr>
        </w:div>
        <w:div w:id="71857421">
          <w:marLeft w:val="0"/>
          <w:marRight w:val="0"/>
          <w:marTop w:val="0"/>
          <w:marBottom w:val="0"/>
          <w:divBdr>
            <w:top w:val="none" w:sz="0" w:space="0" w:color="auto"/>
            <w:left w:val="none" w:sz="0" w:space="0" w:color="auto"/>
            <w:bottom w:val="none" w:sz="0" w:space="0" w:color="auto"/>
            <w:right w:val="none" w:sz="0" w:space="0" w:color="auto"/>
          </w:divBdr>
        </w:div>
        <w:div w:id="313262172">
          <w:marLeft w:val="0"/>
          <w:marRight w:val="0"/>
          <w:marTop w:val="0"/>
          <w:marBottom w:val="0"/>
          <w:divBdr>
            <w:top w:val="none" w:sz="0" w:space="0" w:color="auto"/>
            <w:left w:val="none" w:sz="0" w:space="0" w:color="auto"/>
            <w:bottom w:val="none" w:sz="0" w:space="0" w:color="auto"/>
            <w:right w:val="none" w:sz="0" w:space="0" w:color="auto"/>
          </w:divBdr>
        </w:div>
        <w:div w:id="1529641877">
          <w:marLeft w:val="0"/>
          <w:marRight w:val="0"/>
          <w:marTop w:val="0"/>
          <w:marBottom w:val="0"/>
          <w:divBdr>
            <w:top w:val="none" w:sz="0" w:space="0" w:color="auto"/>
            <w:left w:val="none" w:sz="0" w:space="0" w:color="auto"/>
            <w:bottom w:val="none" w:sz="0" w:space="0" w:color="auto"/>
            <w:right w:val="none" w:sz="0" w:space="0" w:color="auto"/>
          </w:divBdr>
        </w:div>
        <w:div w:id="502207544">
          <w:marLeft w:val="0"/>
          <w:marRight w:val="0"/>
          <w:marTop w:val="0"/>
          <w:marBottom w:val="0"/>
          <w:divBdr>
            <w:top w:val="none" w:sz="0" w:space="0" w:color="auto"/>
            <w:left w:val="none" w:sz="0" w:space="0" w:color="auto"/>
            <w:bottom w:val="none" w:sz="0" w:space="0" w:color="auto"/>
            <w:right w:val="none" w:sz="0" w:space="0" w:color="auto"/>
          </w:divBdr>
        </w:div>
        <w:div w:id="1172723691">
          <w:marLeft w:val="0"/>
          <w:marRight w:val="0"/>
          <w:marTop w:val="0"/>
          <w:marBottom w:val="0"/>
          <w:divBdr>
            <w:top w:val="none" w:sz="0" w:space="0" w:color="auto"/>
            <w:left w:val="none" w:sz="0" w:space="0" w:color="auto"/>
            <w:bottom w:val="none" w:sz="0" w:space="0" w:color="auto"/>
            <w:right w:val="none" w:sz="0" w:space="0" w:color="auto"/>
          </w:divBdr>
        </w:div>
        <w:div w:id="1688560052">
          <w:marLeft w:val="0"/>
          <w:marRight w:val="0"/>
          <w:marTop w:val="0"/>
          <w:marBottom w:val="0"/>
          <w:divBdr>
            <w:top w:val="none" w:sz="0" w:space="0" w:color="auto"/>
            <w:left w:val="none" w:sz="0" w:space="0" w:color="auto"/>
            <w:bottom w:val="none" w:sz="0" w:space="0" w:color="auto"/>
            <w:right w:val="none" w:sz="0" w:space="0" w:color="auto"/>
          </w:divBdr>
        </w:div>
        <w:div w:id="1364942728">
          <w:marLeft w:val="0"/>
          <w:marRight w:val="0"/>
          <w:marTop w:val="0"/>
          <w:marBottom w:val="0"/>
          <w:divBdr>
            <w:top w:val="none" w:sz="0" w:space="0" w:color="auto"/>
            <w:left w:val="none" w:sz="0" w:space="0" w:color="auto"/>
            <w:bottom w:val="none" w:sz="0" w:space="0" w:color="auto"/>
            <w:right w:val="none" w:sz="0" w:space="0" w:color="auto"/>
          </w:divBdr>
        </w:div>
        <w:div w:id="377819068">
          <w:marLeft w:val="0"/>
          <w:marRight w:val="0"/>
          <w:marTop w:val="0"/>
          <w:marBottom w:val="0"/>
          <w:divBdr>
            <w:top w:val="none" w:sz="0" w:space="0" w:color="auto"/>
            <w:left w:val="none" w:sz="0" w:space="0" w:color="auto"/>
            <w:bottom w:val="none" w:sz="0" w:space="0" w:color="auto"/>
            <w:right w:val="none" w:sz="0" w:space="0" w:color="auto"/>
          </w:divBdr>
        </w:div>
        <w:div w:id="1033649420">
          <w:marLeft w:val="0"/>
          <w:marRight w:val="0"/>
          <w:marTop w:val="0"/>
          <w:marBottom w:val="0"/>
          <w:divBdr>
            <w:top w:val="none" w:sz="0" w:space="0" w:color="auto"/>
            <w:left w:val="none" w:sz="0" w:space="0" w:color="auto"/>
            <w:bottom w:val="none" w:sz="0" w:space="0" w:color="auto"/>
            <w:right w:val="none" w:sz="0" w:space="0" w:color="auto"/>
          </w:divBdr>
        </w:div>
        <w:div w:id="395933555">
          <w:marLeft w:val="0"/>
          <w:marRight w:val="0"/>
          <w:marTop w:val="0"/>
          <w:marBottom w:val="0"/>
          <w:divBdr>
            <w:top w:val="none" w:sz="0" w:space="0" w:color="auto"/>
            <w:left w:val="none" w:sz="0" w:space="0" w:color="auto"/>
            <w:bottom w:val="none" w:sz="0" w:space="0" w:color="auto"/>
            <w:right w:val="none" w:sz="0" w:space="0" w:color="auto"/>
          </w:divBdr>
        </w:div>
        <w:div w:id="630476031">
          <w:marLeft w:val="0"/>
          <w:marRight w:val="0"/>
          <w:marTop w:val="0"/>
          <w:marBottom w:val="0"/>
          <w:divBdr>
            <w:top w:val="none" w:sz="0" w:space="0" w:color="auto"/>
            <w:left w:val="none" w:sz="0" w:space="0" w:color="auto"/>
            <w:bottom w:val="none" w:sz="0" w:space="0" w:color="auto"/>
            <w:right w:val="none" w:sz="0" w:space="0" w:color="auto"/>
          </w:divBdr>
        </w:div>
        <w:div w:id="9766703">
          <w:marLeft w:val="0"/>
          <w:marRight w:val="0"/>
          <w:marTop w:val="0"/>
          <w:marBottom w:val="0"/>
          <w:divBdr>
            <w:top w:val="none" w:sz="0" w:space="0" w:color="auto"/>
            <w:left w:val="none" w:sz="0" w:space="0" w:color="auto"/>
            <w:bottom w:val="none" w:sz="0" w:space="0" w:color="auto"/>
            <w:right w:val="none" w:sz="0" w:space="0" w:color="auto"/>
          </w:divBdr>
        </w:div>
        <w:div w:id="836112490">
          <w:marLeft w:val="0"/>
          <w:marRight w:val="0"/>
          <w:marTop w:val="0"/>
          <w:marBottom w:val="0"/>
          <w:divBdr>
            <w:top w:val="none" w:sz="0" w:space="0" w:color="auto"/>
            <w:left w:val="none" w:sz="0" w:space="0" w:color="auto"/>
            <w:bottom w:val="none" w:sz="0" w:space="0" w:color="auto"/>
            <w:right w:val="none" w:sz="0" w:space="0" w:color="auto"/>
          </w:divBdr>
        </w:div>
        <w:div w:id="904756456">
          <w:marLeft w:val="0"/>
          <w:marRight w:val="0"/>
          <w:marTop w:val="0"/>
          <w:marBottom w:val="0"/>
          <w:divBdr>
            <w:top w:val="none" w:sz="0" w:space="0" w:color="auto"/>
            <w:left w:val="none" w:sz="0" w:space="0" w:color="auto"/>
            <w:bottom w:val="none" w:sz="0" w:space="0" w:color="auto"/>
            <w:right w:val="none" w:sz="0" w:space="0" w:color="auto"/>
          </w:divBdr>
        </w:div>
        <w:div w:id="1979653188">
          <w:marLeft w:val="0"/>
          <w:marRight w:val="0"/>
          <w:marTop w:val="0"/>
          <w:marBottom w:val="0"/>
          <w:divBdr>
            <w:top w:val="none" w:sz="0" w:space="0" w:color="auto"/>
            <w:left w:val="none" w:sz="0" w:space="0" w:color="auto"/>
            <w:bottom w:val="none" w:sz="0" w:space="0" w:color="auto"/>
            <w:right w:val="none" w:sz="0" w:space="0" w:color="auto"/>
          </w:divBdr>
        </w:div>
        <w:div w:id="1822623741">
          <w:marLeft w:val="0"/>
          <w:marRight w:val="0"/>
          <w:marTop w:val="0"/>
          <w:marBottom w:val="0"/>
          <w:divBdr>
            <w:top w:val="none" w:sz="0" w:space="0" w:color="auto"/>
            <w:left w:val="none" w:sz="0" w:space="0" w:color="auto"/>
            <w:bottom w:val="none" w:sz="0" w:space="0" w:color="auto"/>
            <w:right w:val="none" w:sz="0" w:space="0" w:color="auto"/>
          </w:divBdr>
        </w:div>
        <w:div w:id="106042963">
          <w:marLeft w:val="0"/>
          <w:marRight w:val="0"/>
          <w:marTop w:val="0"/>
          <w:marBottom w:val="0"/>
          <w:divBdr>
            <w:top w:val="none" w:sz="0" w:space="0" w:color="auto"/>
            <w:left w:val="none" w:sz="0" w:space="0" w:color="auto"/>
            <w:bottom w:val="none" w:sz="0" w:space="0" w:color="auto"/>
            <w:right w:val="none" w:sz="0" w:space="0" w:color="auto"/>
          </w:divBdr>
        </w:div>
        <w:div w:id="130291477">
          <w:marLeft w:val="0"/>
          <w:marRight w:val="0"/>
          <w:marTop w:val="0"/>
          <w:marBottom w:val="0"/>
          <w:divBdr>
            <w:top w:val="none" w:sz="0" w:space="0" w:color="auto"/>
            <w:left w:val="none" w:sz="0" w:space="0" w:color="auto"/>
            <w:bottom w:val="none" w:sz="0" w:space="0" w:color="auto"/>
            <w:right w:val="none" w:sz="0" w:space="0" w:color="auto"/>
          </w:divBdr>
        </w:div>
        <w:div w:id="127861094">
          <w:marLeft w:val="0"/>
          <w:marRight w:val="0"/>
          <w:marTop w:val="0"/>
          <w:marBottom w:val="0"/>
          <w:divBdr>
            <w:top w:val="none" w:sz="0" w:space="0" w:color="auto"/>
            <w:left w:val="none" w:sz="0" w:space="0" w:color="auto"/>
            <w:bottom w:val="none" w:sz="0" w:space="0" w:color="auto"/>
            <w:right w:val="none" w:sz="0" w:space="0" w:color="auto"/>
          </w:divBdr>
        </w:div>
        <w:div w:id="775364731">
          <w:marLeft w:val="0"/>
          <w:marRight w:val="0"/>
          <w:marTop w:val="0"/>
          <w:marBottom w:val="0"/>
          <w:divBdr>
            <w:top w:val="none" w:sz="0" w:space="0" w:color="auto"/>
            <w:left w:val="none" w:sz="0" w:space="0" w:color="auto"/>
            <w:bottom w:val="none" w:sz="0" w:space="0" w:color="auto"/>
            <w:right w:val="none" w:sz="0" w:space="0" w:color="auto"/>
          </w:divBdr>
        </w:div>
        <w:div w:id="533616656">
          <w:marLeft w:val="0"/>
          <w:marRight w:val="0"/>
          <w:marTop w:val="0"/>
          <w:marBottom w:val="0"/>
          <w:divBdr>
            <w:top w:val="none" w:sz="0" w:space="0" w:color="auto"/>
            <w:left w:val="none" w:sz="0" w:space="0" w:color="auto"/>
            <w:bottom w:val="none" w:sz="0" w:space="0" w:color="auto"/>
            <w:right w:val="none" w:sz="0" w:space="0" w:color="auto"/>
          </w:divBdr>
        </w:div>
        <w:div w:id="1984461200">
          <w:marLeft w:val="0"/>
          <w:marRight w:val="0"/>
          <w:marTop w:val="0"/>
          <w:marBottom w:val="0"/>
          <w:divBdr>
            <w:top w:val="none" w:sz="0" w:space="0" w:color="auto"/>
            <w:left w:val="none" w:sz="0" w:space="0" w:color="auto"/>
            <w:bottom w:val="none" w:sz="0" w:space="0" w:color="auto"/>
            <w:right w:val="none" w:sz="0" w:space="0" w:color="auto"/>
          </w:divBdr>
        </w:div>
        <w:div w:id="843591994">
          <w:marLeft w:val="0"/>
          <w:marRight w:val="0"/>
          <w:marTop w:val="0"/>
          <w:marBottom w:val="0"/>
          <w:divBdr>
            <w:top w:val="none" w:sz="0" w:space="0" w:color="auto"/>
            <w:left w:val="none" w:sz="0" w:space="0" w:color="auto"/>
            <w:bottom w:val="none" w:sz="0" w:space="0" w:color="auto"/>
            <w:right w:val="none" w:sz="0" w:space="0" w:color="auto"/>
          </w:divBdr>
        </w:div>
        <w:div w:id="171336122">
          <w:marLeft w:val="0"/>
          <w:marRight w:val="0"/>
          <w:marTop w:val="0"/>
          <w:marBottom w:val="0"/>
          <w:divBdr>
            <w:top w:val="none" w:sz="0" w:space="0" w:color="auto"/>
            <w:left w:val="none" w:sz="0" w:space="0" w:color="auto"/>
            <w:bottom w:val="none" w:sz="0" w:space="0" w:color="auto"/>
            <w:right w:val="none" w:sz="0" w:space="0" w:color="auto"/>
          </w:divBdr>
        </w:div>
        <w:div w:id="1270625432">
          <w:marLeft w:val="0"/>
          <w:marRight w:val="0"/>
          <w:marTop w:val="0"/>
          <w:marBottom w:val="0"/>
          <w:divBdr>
            <w:top w:val="none" w:sz="0" w:space="0" w:color="auto"/>
            <w:left w:val="none" w:sz="0" w:space="0" w:color="auto"/>
            <w:bottom w:val="none" w:sz="0" w:space="0" w:color="auto"/>
            <w:right w:val="none" w:sz="0" w:space="0" w:color="auto"/>
          </w:divBdr>
        </w:div>
        <w:div w:id="861894571">
          <w:marLeft w:val="0"/>
          <w:marRight w:val="0"/>
          <w:marTop w:val="0"/>
          <w:marBottom w:val="0"/>
          <w:divBdr>
            <w:top w:val="none" w:sz="0" w:space="0" w:color="auto"/>
            <w:left w:val="none" w:sz="0" w:space="0" w:color="auto"/>
            <w:bottom w:val="none" w:sz="0" w:space="0" w:color="auto"/>
            <w:right w:val="none" w:sz="0" w:space="0" w:color="auto"/>
          </w:divBdr>
        </w:div>
        <w:div w:id="300810638">
          <w:marLeft w:val="0"/>
          <w:marRight w:val="0"/>
          <w:marTop w:val="0"/>
          <w:marBottom w:val="0"/>
          <w:divBdr>
            <w:top w:val="none" w:sz="0" w:space="0" w:color="auto"/>
            <w:left w:val="none" w:sz="0" w:space="0" w:color="auto"/>
            <w:bottom w:val="none" w:sz="0" w:space="0" w:color="auto"/>
            <w:right w:val="none" w:sz="0" w:space="0" w:color="auto"/>
          </w:divBdr>
        </w:div>
        <w:div w:id="834883103">
          <w:marLeft w:val="0"/>
          <w:marRight w:val="0"/>
          <w:marTop w:val="0"/>
          <w:marBottom w:val="0"/>
          <w:divBdr>
            <w:top w:val="none" w:sz="0" w:space="0" w:color="auto"/>
            <w:left w:val="none" w:sz="0" w:space="0" w:color="auto"/>
            <w:bottom w:val="none" w:sz="0" w:space="0" w:color="auto"/>
            <w:right w:val="none" w:sz="0" w:space="0" w:color="auto"/>
          </w:divBdr>
        </w:div>
        <w:div w:id="173764428">
          <w:marLeft w:val="0"/>
          <w:marRight w:val="0"/>
          <w:marTop w:val="0"/>
          <w:marBottom w:val="0"/>
          <w:divBdr>
            <w:top w:val="none" w:sz="0" w:space="0" w:color="auto"/>
            <w:left w:val="none" w:sz="0" w:space="0" w:color="auto"/>
            <w:bottom w:val="none" w:sz="0" w:space="0" w:color="auto"/>
            <w:right w:val="none" w:sz="0" w:space="0" w:color="auto"/>
          </w:divBdr>
        </w:div>
        <w:div w:id="1781104374">
          <w:marLeft w:val="0"/>
          <w:marRight w:val="0"/>
          <w:marTop w:val="0"/>
          <w:marBottom w:val="0"/>
          <w:divBdr>
            <w:top w:val="none" w:sz="0" w:space="0" w:color="auto"/>
            <w:left w:val="none" w:sz="0" w:space="0" w:color="auto"/>
            <w:bottom w:val="none" w:sz="0" w:space="0" w:color="auto"/>
            <w:right w:val="none" w:sz="0" w:space="0" w:color="auto"/>
          </w:divBdr>
        </w:div>
        <w:div w:id="1561987623">
          <w:marLeft w:val="0"/>
          <w:marRight w:val="0"/>
          <w:marTop w:val="0"/>
          <w:marBottom w:val="0"/>
          <w:divBdr>
            <w:top w:val="none" w:sz="0" w:space="0" w:color="auto"/>
            <w:left w:val="none" w:sz="0" w:space="0" w:color="auto"/>
            <w:bottom w:val="none" w:sz="0" w:space="0" w:color="auto"/>
            <w:right w:val="none" w:sz="0" w:space="0" w:color="auto"/>
          </w:divBdr>
        </w:div>
        <w:div w:id="1947231567">
          <w:marLeft w:val="0"/>
          <w:marRight w:val="0"/>
          <w:marTop w:val="0"/>
          <w:marBottom w:val="0"/>
          <w:divBdr>
            <w:top w:val="none" w:sz="0" w:space="0" w:color="auto"/>
            <w:left w:val="none" w:sz="0" w:space="0" w:color="auto"/>
            <w:bottom w:val="none" w:sz="0" w:space="0" w:color="auto"/>
            <w:right w:val="none" w:sz="0" w:space="0" w:color="auto"/>
          </w:divBdr>
        </w:div>
        <w:div w:id="477916256">
          <w:marLeft w:val="0"/>
          <w:marRight w:val="0"/>
          <w:marTop w:val="0"/>
          <w:marBottom w:val="0"/>
          <w:divBdr>
            <w:top w:val="none" w:sz="0" w:space="0" w:color="auto"/>
            <w:left w:val="none" w:sz="0" w:space="0" w:color="auto"/>
            <w:bottom w:val="none" w:sz="0" w:space="0" w:color="auto"/>
            <w:right w:val="none" w:sz="0" w:space="0" w:color="auto"/>
          </w:divBdr>
        </w:div>
        <w:div w:id="892692791">
          <w:marLeft w:val="0"/>
          <w:marRight w:val="0"/>
          <w:marTop w:val="0"/>
          <w:marBottom w:val="0"/>
          <w:divBdr>
            <w:top w:val="none" w:sz="0" w:space="0" w:color="auto"/>
            <w:left w:val="none" w:sz="0" w:space="0" w:color="auto"/>
            <w:bottom w:val="none" w:sz="0" w:space="0" w:color="auto"/>
            <w:right w:val="none" w:sz="0" w:space="0" w:color="auto"/>
          </w:divBdr>
        </w:div>
        <w:div w:id="359362079">
          <w:marLeft w:val="0"/>
          <w:marRight w:val="0"/>
          <w:marTop w:val="0"/>
          <w:marBottom w:val="0"/>
          <w:divBdr>
            <w:top w:val="none" w:sz="0" w:space="0" w:color="auto"/>
            <w:left w:val="none" w:sz="0" w:space="0" w:color="auto"/>
            <w:bottom w:val="none" w:sz="0" w:space="0" w:color="auto"/>
            <w:right w:val="none" w:sz="0" w:space="0" w:color="auto"/>
          </w:divBdr>
        </w:div>
        <w:div w:id="1297489362">
          <w:marLeft w:val="0"/>
          <w:marRight w:val="0"/>
          <w:marTop w:val="0"/>
          <w:marBottom w:val="0"/>
          <w:divBdr>
            <w:top w:val="none" w:sz="0" w:space="0" w:color="auto"/>
            <w:left w:val="none" w:sz="0" w:space="0" w:color="auto"/>
            <w:bottom w:val="none" w:sz="0" w:space="0" w:color="auto"/>
            <w:right w:val="none" w:sz="0" w:space="0" w:color="auto"/>
          </w:divBdr>
        </w:div>
        <w:div w:id="467818285">
          <w:marLeft w:val="0"/>
          <w:marRight w:val="0"/>
          <w:marTop w:val="0"/>
          <w:marBottom w:val="0"/>
          <w:divBdr>
            <w:top w:val="none" w:sz="0" w:space="0" w:color="auto"/>
            <w:left w:val="none" w:sz="0" w:space="0" w:color="auto"/>
            <w:bottom w:val="none" w:sz="0" w:space="0" w:color="auto"/>
            <w:right w:val="none" w:sz="0" w:space="0" w:color="auto"/>
          </w:divBdr>
        </w:div>
        <w:div w:id="1794127167">
          <w:marLeft w:val="0"/>
          <w:marRight w:val="0"/>
          <w:marTop w:val="0"/>
          <w:marBottom w:val="0"/>
          <w:divBdr>
            <w:top w:val="none" w:sz="0" w:space="0" w:color="auto"/>
            <w:left w:val="none" w:sz="0" w:space="0" w:color="auto"/>
            <w:bottom w:val="none" w:sz="0" w:space="0" w:color="auto"/>
            <w:right w:val="none" w:sz="0" w:space="0" w:color="auto"/>
          </w:divBdr>
        </w:div>
        <w:div w:id="1363751521">
          <w:marLeft w:val="0"/>
          <w:marRight w:val="0"/>
          <w:marTop w:val="0"/>
          <w:marBottom w:val="0"/>
          <w:divBdr>
            <w:top w:val="none" w:sz="0" w:space="0" w:color="auto"/>
            <w:left w:val="none" w:sz="0" w:space="0" w:color="auto"/>
            <w:bottom w:val="none" w:sz="0" w:space="0" w:color="auto"/>
            <w:right w:val="none" w:sz="0" w:space="0" w:color="auto"/>
          </w:divBdr>
        </w:div>
        <w:div w:id="1460952842">
          <w:marLeft w:val="0"/>
          <w:marRight w:val="0"/>
          <w:marTop w:val="0"/>
          <w:marBottom w:val="0"/>
          <w:divBdr>
            <w:top w:val="none" w:sz="0" w:space="0" w:color="auto"/>
            <w:left w:val="none" w:sz="0" w:space="0" w:color="auto"/>
            <w:bottom w:val="none" w:sz="0" w:space="0" w:color="auto"/>
            <w:right w:val="none" w:sz="0" w:space="0" w:color="auto"/>
          </w:divBdr>
        </w:div>
        <w:div w:id="656492945">
          <w:marLeft w:val="0"/>
          <w:marRight w:val="0"/>
          <w:marTop w:val="0"/>
          <w:marBottom w:val="0"/>
          <w:divBdr>
            <w:top w:val="none" w:sz="0" w:space="0" w:color="auto"/>
            <w:left w:val="none" w:sz="0" w:space="0" w:color="auto"/>
            <w:bottom w:val="none" w:sz="0" w:space="0" w:color="auto"/>
            <w:right w:val="none" w:sz="0" w:space="0" w:color="auto"/>
          </w:divBdr>
        </w:div>
        <w:div w:id="1597787025">
          <w:marLeft w:val="0"/>
          <w:marRight w:val="0"/>
          <w:marTop w:val="0"/>
          <w:marBottom w:val="0"/>
          <w:divBdr>
            <w:top w:val="none" w:sz="0" w:space="0" w:color="auto"/>
            <w:left w:val="none" w:sz="0" w:space="0" w:color="auto"/>
            <w:bottom w:val="none" w:sz="0" w:space="0" w:color="auto"/>
            <w:right w:val="none" w:sz="0" w:space="0" w:color="auto"/>
          </w:divBdr>
        </w:div>
        <w:div w:id="455413753">
          <w:marLeft w:val="0"/>
          <w:marRight w:val="0"/>
          <w:marTop w:val="0"/>
          <w:marBottom w:val="0"/>
          <w:divBdr>
            <w:top w:val="none" w:sz="0" w:space="0" w:color="auto"/>
            <w:left w:val="none" w:sz="0" w:space="0" w:color="auto"/>
            <w:bottom w:val="none" w:sz="0" w:space="0" w:color="auto"/>
            <w:right w:val="none" w:sz="0" w:space="0" w:color="auto"/>
          </w:divBdr>
        </w:div>
        <w:div w:id="1496187647">
          <w:marLeft w:val="0"/>
          <w:marRight w:val="0"/>
          <w:marTop w:val="0"/>
          <w:marBottom w:val="0"/>
          <w:divBdr>
            <w:top w:val="none" w:sz="0" w:space="0" w:color="auto"/>
            <w:left w:val="none" w:sz="0" w:space="0" w:color="auto"/>
            <w:bottom w:val="none" w:sz="0" w:space="0" w:color="auto"/>
            <w:right w:val="none" w:sz="0" w:space="0" w:color="auto"/>
          </w:divBdr>
        </w:div>
        <w:div w:id="61147028">
          <w:marLeft w:val="0"/>
          <w:marRight w:val="0"/>
          <w:marTop w:val="0"/>
          <w:marBottom w:val="0"/>
          <w:divBdr>
            <w:top w:val="none" w:sz="0" w:space="0" w:color="auto"/>
            <w:left w:val="none" w:sz="0" w:space="0" w:color="auto"/>
            <w:bottom w:val="none" w:sz="0" w:space="0" w:color="auto"/>
            <w:right w:val="none" w:sz="0" w:space="0" w:color="auto"/>
          </w:divBdr>
        </w:div>
      </w:divsChild>
    </w:div>
    <w:div w:id="21141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6159</Characters>
  <Application>Microsoft Office Word</Application>
  <DocSecurity>0</DocSecurity>
  <Lines>51</Lines>
  <Paragraphs>14</Paragraphs>
  <ScaleCrop>false</ScaleCrop>
  <Company>Microsoft</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cx</cp:lastModifiedBy>
  <cp:revision>5</cp:revision>
  <dcterms:created xsi:type="dcterms:W3CDTF">2019-11-22T09:13:00Z</dcterms:created>
  <dcterms:modified xsi:type="dcterms:W3CDTF">2019-11-22T09:14:00Z</dcterms:modified>
</cp:coreProperties>
</file>