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rPr>
          <w:sz w:val="84"/>
          <w:szCs w:val="84"/>
          <w:u w:val="none"/>
        </w:rPr>
      </w:pPr>
    </w:p>
    <w:p>
      <w:pPr>
        <w:rPr>
          <w:sz w:val="84"/>
          <w:szCs w:val="84"/>
          <w:u w:val="none"/>
        </w:rPr>
      </w:pPr>
    </w:p>
    <w:p>
      <w:pPr>
        <w:jc w:val="center"/>
        <w:outlineLvl w:val="0"/>
        <w:rPr>
          <w:rFonts w:hint="eastAsia" w:ascii="方正小标宋简体" w:hAnsi="方正小标宋简体" w:eastAsia="方正小标宋简体" w:cs="方正小标宋简体"/>
          <w:sz w:val="52"/>
          <w:szCs w:val="52"/>
          <w:u w:val="none"/>
          <w:lang w:eastAsia="zh-CN"/>
        </w:rPr>
      </w:pPr>
      <w:r>
        <w:rPr>
          <w:rFonts w:hint="eastAsia" w:ascii="方正小标宋简体" w:hAnsi="方正小标宋简体" w:eastAsia="方正小标宋简体" w:cs="方正小标宋简体"/>
          <w:sz w:val="52"/>
          <w:szCs w:val="52"/>
          <w:u w:val="none"/>
          <w:lang w:val="en-US" w:eastAsia="zh-CN"/>
        </w:rPr>
        <w:t>2024</w:t>
      </w:r>
      <w:r>
        <w:rPr>
          <w:rFonts w:hint="eastAsia" w:ascii="方正小标宋简体" w:hAnsi="方正小标宋简体" w:eastAsia="方正小标宋简体" w:cs="方正小标宋简体"/>
          <w:sz w:val="52"/>
          <w:szCs w:val="52"/>
          <w:u w:val="none"/>
        </w:rPr>
        <w:t>年</w:t>
      </w:r>
      <w:r>
        <w:rPr>
          <w:rFonts w:hint="eastAsia" w:ascii="方正小标宋简体" w:hAnsi="方正小标宋简体" w:eastAsia="方正小标宋简体" w:cs="方正小标宋简体"/>
          <w:sz w:val="52"/>
          <w:szCs w:val="52"/>
          <w:u w:val="none"/>
          <w:lang w:eastAsia="zh-CN"/>
        </w:rPr>
        <w:t>海南省第二中级人民法院</w:t>
      </w:r>
    </w:p>
    <w:p>
      <w:pPr>
        <w:jc w:val="center"/>
        <w:outlineLvl w:val="0"/>
        <w:rPr>
          <w:rFonts w:hint="eastAsia" w:ascii="方正小标宋简体" w:hAnsi="方正小标宋简体" w:eastAsia="方正小标宋简体" w:cs="方正小标宋简体"/>
          <w:sz w:val="52"/>
          <w:szCs w:val="52"/>
          <w:u w:val="none"/>
        </w:rPr>
      </w:pPr>
      <w:r>
        <w:rPr>
          <w:rFonts w:hint="eastAsia" w:ascii="方正小标宋简体" w:hAnsi="方正小标宋简体" w:eastAsia="方正小标宋简体" w:cs="方正小标宋简体"/>
          <w:sz w:val="52"/>
          <w:szCs w:val="52"/>
          <w:u w:val="none"/>
        </w:rPr>
        <w:t>部门预算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jc w:val="both"/>
        <w:rPr>
          <w:rFonts w:hint="eastAsia" w:ascii="黑体" w:hAnsi="黑体" w:eastAsia="黑体"/>
          <w:sz w:val="52"/>
          <w:szCs w:val="52"/>
          <w:u w:val="none"/>
        </w:rPr>
      </w:pPr>
    </w:p>
    <w:p>
      <w:pPr>
        <w:jc w:val="center"/>
        <w:outlineLvl w:val="0"/>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outlineLvl w:val="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rPr>
        <w:t>海南省第二中级人民法院</w:t>
      </w:r>
      <w:r>
        <w:rPr>
          <w:rFonts w:hint="eastAsia" w:ascii="黑体" w:hAnsi="黑体" w:eastAsia="黑体"/>
          <w:sz w:val="32"/>
          <w:szCs w:val="32"/>
          <w:u w:val="none"/>
        </w:rPr>
        <w:t>概况</w:t>
      </w:r>
    </w:p>
    <w:p>
      <w:pPr>
        <w:pStyle w:val="6"/>
        <w:numPr>
          <w:ilvl w:val="-1"/>
          <w:numId w:val="0"/>
        </w:numPr>
        <w:ind w:left="0" w:firstLine="1600" w:firstLineChars="500"/>
        <w:jc w:val="left"/>
        <w:outlineLvl w:val="1"/>
        <w:rPr>
          <w:rFonts w:ascii="黑体" w:hAnsi="黑体" w:eastAsia="黑体"/>
          <w:sz w:val="32"/>
          <w:szCs w:val="32"/>
          <w:u w:val="none"/>
        </w:rPr>
      </w:pPr>
      <w:r>
        <w:rPr>
          <w:rFonts w:hint="eastAsia" w:ascii="黑体" w:hAnsi="黑体" w:eastAsia="黑体"/>
          <w:sz w:val="32"/>
          <w:szCs w:val="32"/>
          <w:u w:val="none"/>
          <w:lang w:val="en-US" w:eastAsia="zh-CN"/>
        </w:rPr>
        <w:t>一、</w:t>
      </w:r>
      <w:r>
        <w:rPr>
          <w:rFonts w:hint="eastAsia" w:ascii="黑体" w:hAnsi="黑体" w:eastAsia="黑体"/>
          <w:sz w:val="32"/>
          <w:szCs w:val="32"/>
          <w:u w:val="none"/>
        </w:rPr>
        <w:t>主要职能</w:t>
      </w:r>
    </w:p>
    <w:p>
      <w:pPr>
        <w:pStyle w:val="6"/>
        <w:numPr>
          <w:ilvl w:val="-1"/>
          <w:numId w:val="0"/>
        </w:numPr>
        <w:ind w:left="0" w:firstLine="1600" w:firstLineChars="500"/>
        <w:jc w:val="left"/>
        <w:outlineLvl w:val="1"/>
        <w:rPr>
          <w:rFonts w:ascii="黑体" w:hAnsi="黑体" w:eastAsia="黑体"/>
          <w:sz w:val="32"/>
          <w:szCs w:val="32"/>
          <w:u w:val="none"/>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w:t>
      </w:r>
    </w:p>
    <w:p>
      <w:pPr>
        <w:pStyle w:val="6"/>
        <w:numPr>
          <w:ilvl w:val="-1"/>
          <w:numId w:val="0"/>
        </w:numPr>
        <w:ind w:left="0" w:firstLine="0" w:firstLineChars="0"/>
        <w:jc w:val="left"/>
        <w:outlineLvl w:val="0"/>
        <w:rPr>
          <w:rFonts w:ascii="黑体" w:hAnsi="黑体" w:eastAsia="黑体"/>
          <w:sz w:val="32"/>
          <w:szCs w:val="32"/>
          <w:u w:val="none"/>
        </w:rPr>
      </w:pPr>
      <w:r>
        <w:rPr>
          <w:rFonts w:hint="eastAsia" w:ascii="黑体" w:hAnsi="黑体" w:eastAsia="黑体"/>
          <w:sz w:val="32"/>
          <w:szCs w:val="32"/>
          <w:u w:val="none"/>
          <w:lang w:eastAsia="zh-CN"/>
        </w:rPr>
        <w:t>第二部分</w:t>
      </w:r>
      <w:r>
        <w:rPr>
          <w:rFonts w:hint="eastAsia" w:ascii="黑体" w:hAnsi="黑体" w:eastAsia="黑体"/>
          <w:sz w:val="32"/>
          <w:szCs w:val="32"/>
          <w:u w:val="none"/>
          <w:lang w:val="en-US" w:eastAsia="zh-CN"/>
        </w:rPr>
        <w:t xml:space="preserve"> </w:t>
      </w:r>
      <w:r>
        <w:rPr>
          <w:rFonts w:hint="eastAsia" w:ascii="黑体" w:hAnsi="黑体" w:eastAsia="黑体"/>
          <w:sz w:val="32"/>
          <w:szCs w:val="32"/>
          <w:u w:val="none"/>
        </w:rPr>
        <w:t xml:space="preserve"> </w:t>
      </w:r>
      <w:r>
        <w:rPr>
          <w:rFonts w:hint="eastAsia" w:ascii="黑体" w:hAnsi="黑体" w:eastAsia="黑体" w:cs="仿宋_GB2312"/>
          <w:sz w:val="32"/>
          <w:szCs w:val="32"/>
        </w:rPr>
        <w:t>海南省第二中级人民法院202</w:t>
      </w:r>
      <w:r>
        <w:rPr>
          <w:rFonts w:hint="eastAsia" w:ascii="黑体" w:hAnsi="黑体" w:eastAsia="黑体" w:cs="仿宋_GB2312"/>
          <w:sz w:val="32"/>
          <w:szCs w:val="32"/>
          <w:lang w:val="en-US" w:eastAsia="zh-CN"/>
        </w:rPr>
        <w:t>4</w:t>
      </w:r>
      <w:r>
        <w:rPr>
          <w:rFonts w:hint="eastAsia" w:ascii="黑体" w:hAnsi="黑体" w:eastAsia="黑体"/>
          <w:sz w:val="32"/>
          <w:szCs w:val="32"/>
        </w:rPr>
        <w:t>年部门预算表</w:t>
      </w:r>
    </w:p>
    <w:p>
      <w:pPr>
        <w:pStyle w:val="6"/>
        <w:numPr>
          <w:ilvl w:val="-1"/>
          <w:numId w:val="0"/>
        </w:numPr>
        <w:ind w:left="0" w:firstLine="1600" w:firstLineChars="500"/>
        <w:outlineLvl w:val="1"/>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一、</w:t>
      </w:r>
      <w:r>
        <w:rPr>
          <w:rFonts w:hint="eastAsia" w:ascii="仿宋_GB2312" w:hAnsi="仿宋_GB2312" w:eastAsia="仿宋_GB2312" w:cs="仿宋_GB2312"/>
          <w:sz w:val="32"/>
          <w:szCs w:val="32"/>
          <w:u w:val="none"/>
        </w:rPr>
        <w:t>财政拨款收支总表</w:t>
      </w:r>
    </w:p>
    <w:p>
      <w:pPr>
        <w:pStyle w:val="6"/>
        <w:numPr>
          <w:ilvl w:val="-1"/>
          <w:numId w:val="0"/>
        </w:numPr>
        <w:ind w:left="0" w:firstLine="1600" w:firstLineChars="500"/>
        <w:outlineLvl w:val="1"/>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二、</w:t>
      </w:r>
      <w:r>
        <w:rPr>
          <w:rFonts w:hint="eastAsia" w:ascii="仿宋_GB2312" w:hAnsi="仿宋_GB2312" w:eastAsia="仿宋_GB2312" w:cs="仿宋_GB2312"/>
          <w:sz w:val="32"/>
          <w:szCs w:val="32"/>
          <w:u w:val="none"/>
        </w:rPr>
        <w:t>一般公共预算支出表</w:t>
      </w:r>
    </w:p>
    <w:p>
      <w:pPr>
        <w:pStyle w:val="6"/>
        <w:numPr>
          <w:ilvl w:val="-1"/>
          <w:numId w:val="0"/>
        </w:numPr>
        <w:ind w:left="0" w:firstLine="1600" w:firstLineChars="500"/>
        <w:outlineLvl w:val="1"/>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三、</w:t>
      </w:r>
      <w:r>
        <w:rPr>
          <w:rFonts w:hint="eastAsia" w:ascii="仿宋_GB2312" w:hAnsi="仿宋_GB2312" w:eastAsia="仿宋_GB2312" w:cs="仿宋_GB2312"/>
          <w:sz w:val="32"/>
          <w:szCs w:val="32"/>
          <w:u w:val="none"/>
        </w:rPr>
        <w:t>一般公共预算基本支出表</w:t>
      </w:r>
    </w:p>
    <w:p>
      <w:pPr>
        <w:pStyle w:val="6"/>
        <w:numPr>
          <w:ilvl w:val="-1"/>
          <w:numId w:val="0"/>
        </w:numPr>
        <w:ind w:left="0" w:firstLine="1600" w:firstLineChars="500"/>
        <w:outlineLvl w:val="1"/>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四、</w:t>
      </w:r>
      <w:r>
        <w:rPr>
          <w:rFonts w:hint="eastAsia" w:ascii="仿宋_GB2312" w:hAnsi="仿宋_GB2312" w:eastAsia="仿宋_GB2312" w:cs="仿宋_GB2312"/>
          <w:sz w:val="32"/>
          <w:szCs w:val="32"/>
          <w:u w:val="none"/>
        </w:rPr>
        <w:t>一般公共预算“三公”经费支出表</w:t>
      </w:r>
    </w:p>
    <w:p>
      <w:pPr>
        <w:pStyle w:val="6"/>
        <w:numPr>
          <w:ilvl w:val="-1"/>
          <w:numId w:val="0"/>
        </w:numPr>
        <w:ind w:left="0" w:firstLine="1600" w:firstLineChars="500"/>
        <w:outlineLvl w:val="1"/>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五、</w:t>
      </w:r>
      <w:r>
        <w:rPr>
          <w:rFonts w:hint="eastAsia" w:ascii="仿宋_GB2312" w:hAnsi="仿宋_GB2312" w:eastAsia="仿宋_GB2312" w:cs="仿宋_GB2312"/>
          <w:sz w:val="32"/>
          <w:szCs w:val="32"/>
          <w:u w:val="none"/>
        </w:rPr>
        <w:t>政府性基金预算支出表。</w:t>
      </w:r>
    </w:p>
    <w:p>
      <w:pPr>
        <w:pStyle w:val="6"/>
        <w:numPr>
          <w:ilvl w:val="-1"/>
          <w:numId w:val="0"/>
        </w:numPr>
        <w:ind w:left="0" w:firstLine="1600" w:firstLineChars="500"/>
        <w:outlineLvl w:val="1"/>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六、</w:t>
      </w:r>
      <w:r>
        <w:rPr>
          <w:rFonts w:hint="eastAsia" w:ascii="仿宋_GB2312" w:hAnsi="仿宋_GB2312" w:eastAsia="仿宋_GB2312" w:cs="仿宋_GB2312"/>
          <w:sz w:val="32"/>
          <w:szCs w:val="32"/>
          <w:u w:val="none"/>
        </w:rPr>
        <w:t>政府性基金预算“三公”经费支出表</w:t>
      </w:r>
    </w:p>
    <w:p>
      <w:pPr>
        <w:pStyle w:val="6"/>
        <w:numPr>
          <w:ilvl w:val="-1"/>
          <w:numId w:val="0"/>
        </w:numPr>
        <w:ind w:left="0" w:firstLine="1600" w:firstLineChars="500"/>
        <w:jc w:val="left"/>
        <w:outlineLvl w:val="1"/>
        <w:rPr>
          <w:rFonts w:ascii="黑体" w:hAnsi="黑体" w:eastAsia="黑体"/>
          <w:sz w:val="32"/>
          <w:szCs w:val="32"/>
          <w:u w:val="none"/>
        </w:rPr>
      </w:pPr>
      <w:r>
        <w:rPr>
          <w:rFonts w:hint="eastAsia" w:ascii="仿宋_GB2312" w:hAnsi="仿宋_GB2312" w:eastAsia="仿宋_GB2312" w:cs="仿宋_GB2312"/>
          <w:sz w:val="32"/>
          <w:szCs w:val="32"/>
          <w:u w:val="none"/>
          <w:lang w:eastAsia="zh-CN"/>
        </w:rPr>
        <w:t>七、</w:t>
      </w: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1"/>
          <w:numId w:val="0"/>
        </w:numPr>
        <w:ind w:left="0" w:firstLine="1600" w:firstLineChars="50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八</w:t>
      </w: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1"/>
          <w:numId w:val="0"/>
        </w:numPr>
        <w:ind w:left="0" w:firstLine="1600" w:firstLineChars="500"/>
        <w:jc w:val="left"/>
        <w:outlineLvl w:val="1"/>
        <w:rPr>
          <w:rFonts w:ascii="黑体" w:hAnsi="黑体" w:eastAsia="黑体"/>
          <w:sz w:val="32"/>
          <w:szCs w:val="32"/>
          <w:u w:val="none"/>
        </w:rPr>
      </w:pPr>
      <w:r>
        <w:rPr>
          <w:rFonts w:hint="eastAsia" w:ascii="仿宋_GB2312" w:hAnsi="仿宋_GB2312" w:eastAsia="仿宋_GB2312" w:cs="仿宋_GB2312"/>
          <w:sz w:val="32"/>
          <w:szCs w:val="32"/>
          <w:u w:val="none"/>
          <w:lang w:eastAsia="zh-CN"/>
        </w:rPr>
        <w:t>九、</w:t>
      </w: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1"/>
          <w:numId w:val="0"/>
        </w:numPr>
        <w:ind w:left="0" w:firstLine="1600" w:firstLineChars="500"/>
        <w:jc w:val="left"/>
        <w:outlineLvl w:val="1"/>
        <w:rPr>
          <w:rFonts w:ascii="黑体" w:hAnsi="黑体" w:eastAsia="黑体"/>
          <w:sz w:val="32"/>
          <w:szCs w:val="32"/>
          <w:u w:val="none"/>
        </w:rPr>
      </w:pPr>
      <w:r>
        <w:rPr>
          <w:rFonts w:hint="eastAsia" w:ascii="仿宋_GB2312" w:hAnsi="仿宋_GB2312" w:eastAsia="仿宋_GB2312" w:cs="仿宋_GB2312"/>
          <w:sz w:val="32"/>
          <w:szCs w:val="32"/>
          <w:u w:val="none"/>
          <w:lang w:eastAsia="zh-CN"/>
        </w:rPr>
        <w:t>十、</w:t>
      </w:r>
      <w:r>
        <w:rPr>
          <w:rFonts w:hint="eastAsia" w:ascii="仿宋_GB2312" w:hAnsi="仿宋_GB2312" w:eastAsia="仿宋_GB2312" w:cs="仿宋_GB2312"/>
          <w:sz w:val="32"/>
          <w:szCs w:val="32"/>
          <w:u w:val="none"/>
        </w:rPr>
        <w:t>项目支出绩效信息表</w:t>
      </w:r>
    </w:p>
    <w:p>
      <w:pPr>
        <w:pStyle w:val="10"/>
        <w:numPr>
          <w:ilvl w:val="0"/>
          <w:numId w:val="2"/>
        </w:numPr>
        <w:ind w:left="0" w:firstLine="0" w:firstLineChars="0"/>
        <w:jc w:val="left"/>
        <w:outlineLvl w:val="0"/>
        <w:rPr>
          <w:rFonts w:hint="eastAsia" w:ascii="黑体" w:hAnsi="黑体" w:eastAsia="黑体"/>
          <w:sz w:val="32"/>
          <w:szCs w:val="32"/>
        </w:rPr>
      </w:pPr>
      <w:r>
        <w:rPr>
          <w:rFonts w:hint="eastAsia" w:ascii="黑体" w:hAnsi="黑体" w:eastAsia="黑体"/>
          <w:sz w:val="32"/>
          <w:szCs w:val="32"/>
          <w:u w:val="none"/>
        </w:rPr>
        <w:t xml:space="preserve"> </w:t>
      </w:r>
      <w:r>
        <w:rPr>
          <w:rFonts w:hint="eastAsia" w:ascii="黑体" w:hAnsi="黑体" w:eastAsia="黑体" w:cs="仿宋_GB2312"/>
          <w:sz w:val="32"/>
          <w:szCs w:val="32"/>
        </w:rPr>
        <w:t>海南省第二中级人民法院202</w:t>
      </w:r>
      <w:r>
        <w:rPr>
          <w:rFonts w:hint="eastAsia" w:ascii="黑体" w:hAnsi="黑体" w:eastAsia="黑体" w:cs="仿宋_GB2312"/>
          <w:sz w:val="32"/>
          <w:szCs w:val="32"/>
          <w:lang w:val="en-US" w:eastAsia="zh-CN"/>
        </w:rPr>
        <w:t>4</w:t>
      </w:r>
      <w:r>
        <w:rPr>
          <w:rFonts w:hint="eastAsia" w:ascii="黑体" w:hAnsi="黑体" w:eastAsia="黑体"/>
          <w:sz w:val="32"/>
          <w:szCs w:val="32"/>
        </w:rPr>
        <w:t>年部门预算情况</w:t>
      </w:r>
      <w:r>
        <w:rPr>
          <w:rFonts w:hint="eastAsia" w:ascii="黑体" w:hAnsi="黑体" w:eastAsia="黑体"/>
          <w:sz w:val="32"/>
          <w:szCs w:val="32"/>
          <w:lang w:val="en-US" w:eastAsia="zh-CN"/>
        </w:rPr>
        <w:t xml:space="preserve"> </w:t>
      </w:r>
    </w:p>
    <w:p>
      <w:pPr>
        <w:pStyle w:val="10"/>
        <w:numPr>
          <w:ilvl w:val="-1"/>
          <w:numId w:val="0"/>
        </w:numPr>
        <w:ind w:left="0" w:firstLine="1600" w:firstLineChars="500"/>
        <w:jc w:val="left"/>
        <w:rPr>
          <w:rFonts w:hint="eastAsia" w:ascii="黑体" w:hAnsi="黑体" w:eastAsia="黑体"/>
          <w:sz w:val="32"/>
          <w:szCs w:val="32"/>
        </w:rPr>
      </w:pPr>
      <w:r>
        <w:rPr>
          <w:rFonts w:hint="eastAsia" w:ascii="黑体" w:hAnsi="黑体" w:eastAsia="黑体"/>
          <w:sz w:val="32"/>
          <w:szCs w:val="32"/>
        </w:rPr>
        <w:t>说明</w:t>
      </w:r>
    </w:p>
    <w:p>
      <w:pPr>
        <w:pStyle w:val="10"/>
        <w:numPr>
          <w:ilvl w:val="-1"/>
          <w:numId w:val="0"/>
        </w:numPr>
        <w:ind w:left="0" w:firstLine="0"/>
        <w:outlineLvl w:val="0"/>
        <w:rPr>
          <w:rFonts w:ascii="仿宋_GB2312" w:hAnsi="仿宋_GB2312" w:eastAsia="仿宋_GB2312" w:cs="仿宋_GB2312"/>
          <w:sz w:val="32"/>
          <w:szCs w:val="32"/>
          <w:u w:val="none"/>
        </w:rPr>
      </w:pPr>
      <w:r>
        <w:rPr>
          <w:rFonts w:hint="eastAsia" w:ascii="黑体" w:hAnsi="黑体" w:eastAsia="黑体"/>
          <w:sz w:val="32"/>
          <w:szCs w:val="32"/>
          <w:lang w:eastAsia="zh-CN"/>
        </w:rPr>
        <w:t>第四部分</w:t>
      </w:r>
      <w:r>
        <w:rPr>
          <w:rFonts w:hint="eastAsia" w:ascii="黑体" w:hAnsi="黑体" w:eastAsia="黑体"/>
          <w:sz w:val="32"/>
          <w:szCs w:val="32"/>
          <w:u w:val="none"/>
        </w:rPr>
        <w:t xml:space="preserve">  名词解释</w:t>
      </w:r>
    </w:p>
    <w:p>
      <w:pPr>
        <w:pStyle w:val="6"/>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3"/>
        </w:numPr>
        <w:ind w:firstLineChars="0"/>
        <w:jc w:val="center"/>
        <w:outlineLvl w:val="0"/>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rPr>
        <w:t>海南省第二中级人民法院</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6"/>
        <w:numPr>
          <w:ilvl w:val="0"/>
          <w:numId w:val="4"/>
        </w:numPr>
        <w:ind w:firstLineChars="0"/>
        <w:jc w:val="left"/>
        <w:outlineLvl w:val="1"/>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spacing w:line="560" w:lineRule="exact"/>
        <w:ind w:left="720"/>
        <w:rPr>
          <w:rFonts w:ascii="仿宋_GB2312" w:hAnsi="仿宋" w:eastAsia="仿宋_GB2312"/>
          <w:sz w:val="32"/>
          <w:szCs w:val="32"/>
        </w:rPr>
      </w:pPr>
      <w:r>
        <w:rPr>
          <w:rFonts w:hint="eastAsia" w:ascii="仿宋_GB2312" w:hAnsi="仿宋" w:eastAsia="仿宋_GB2312"/>
          <w:sz w:val="32"/>
          <w:szCs w:val="32"/>
        </w:rPr>
        <w:t>海南省第二中级人民法院（以下简称二中院）是国家的</w:t>
      </w:r>
    </w:p>
    <w:p>
      <w:pPr>
        <w:spacing w:line="560" w:lineRule="exact"/>
        <w:rPr>
          <w:rFonts w:ascii="仿宋_GB2312" w:hAnsi="仿宋" w:eastAsia="仿宋_GB2312"/>
          <w:sz w:val="32"/>
          <w:szCs w:val="32"/>
        </w:rPr>
      </w:pPr>
      <w:r>
        <w:rPr>
          <w:rFonts w:hint="eastAsia" w:ascii="仿宋_GB2312" w:hAnsi="仿宋" w:eastAsia="仿宋_GB2312"/>
          <w:sz w:val="32"/>
          <w:szCs w:val="32"/>
        </w:rPr>
        <w:t>审判机关，是根据“省管县”的体制而设立的（下辖儋州市、洋浦经济开发区、临高县、乐东黎族自治县、东方市、昌江黎族自治县和白沙黎族自治县七个基层人民法院）。主要职能如下:</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（1）依法审判法律规定由二中院管辖的刑事、民事、行政等第一、二审案件和其认为应当由自己审理的刑事、民事、行政等第一审案件。</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（2）依法审判由省高级人民法院指定管辖的刑事、民事行政案件和交办的执行案件。</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（3）受理不服辖区法院生效判决的各类申诉和再审申请，对其中确有错误的，提审或指令下级法院再审。</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（4）依法审判由检察机关按照审判监督程序提出的抗诉案件。</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（5）审理有期徒刑的减刑案件和假释案件。</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（6）依法对辖区法院刑事指定管辖权。</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（7）监督、指导辖区法院的审判工作。</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（8）按照法律规定，</w:t>
      </w:r>
      <w:r>
        <w:rPr>
          <w:rFonts w:hint="eastAsia" w:ascii="仿宋_GB2312" w:hAnsi="仿宋" w:eastAsia="仿宋_GB2312"/>
          <w:sz w:val="32"/>
          <w:szCs w:val="32"/>
          <w:lang w:eastAsia="zh-CN"/>
        </w:rPr>
        <w:t>实施刑事执行</w:t>
      </w:r>
      <w:r>
        <w:rPr>
          <w:rFonts w:hint="eastAsia" w:ascii="仿宋_GB2312" w:hAnsi="仿宋" w:eastAsia="仿宋_GB2312"/>
          <w:sz w:val="32"/>
          <w:szCs w:val="32"/>
        </w:rPr>
        <w:t>。</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（9）执行本院已经发生法律效力的判决、裁定以及法律规定应由中级人民法院执行的其他生效法律文书和外省市法院委托执行的案件。</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（10）对相关的法律、法规、规章等草案提出意见。针对案件审理中发现的问题提出司法建议；组织、指导辖区法院的调研工作。</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（11）依法决定国家赔偿。</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（12）负责司法救助工作。</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（13）对本院的法官和工作人员进行思想政治教育、组织专业培训；指导辖区法院思想政治工作和教育培训工作；按照权限管理法官和工作人员。</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（14）协助高级人民法院考核辖区法院领导班子。</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（15）在审判工作中宣传法制，教育公民自觉遵守宪法、法律。</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（16）负责司法行政工作和司法技术工作，管理本院直属事业单位。</w:t>
      </w:r>
    </w:p>
    <w:p>
      <w:pPr>
        <w:spacing w:line="560" w:lineRule="exact"/>
        <w:ind w:firstLine="320" w:firstLineChars="100"/>
        <w:rPr>
          <w:rFonts w:ascii="仿宋_GB2312" w:hAnsi="仿宋" w:eastAsia="仿宋_GB2312"/>
          <w:sz w:val="32"/>
          <w:szCs w:val="32"/>
        </w:rPr>
      </w:pPr>
      <w:r>
        <w:rPr>
          <w:rFonts w:hint="eastAsia" w:ascii="仿宋_GB2312" w:hAnsi="仿宋" w:eastAsia="仿宋_GB2312"/>
          <w:sz w:val="32"/>
          <w:szCs w:val="32"/>
        </w:rPr>
        <w:t>（17）领导辖区法院的督察工作。</w:t>
      </w:r>
    </w:p>
    <w:p>
      <w:pPr>
        <w:spacing w:line="560" w:lineRule="exact"/>
        <w:ind w:firstLine="320" w:firstLineChars="100"/>
        <w:rPr>
          <w:rFonts w:ascii="仿宋_GB2312" w:hAnsi="黑体" w:eastAsia="仿宋_GB2312" w:cs="仿宋_GB2312"/>
          <w:sz w:val="32"/>
          <w:szCs w:val="32"/>
        </w:rPr>
      </w:pPr>
      <w:r>
        <w:rPr>
          <w:rFonts w:hint="eastAsia" w:ascii="仿宋_GB2312" w:hAnsi="仿宋" w:eastAsia="仿宋_GB2312"/>
          <w:sz w:val="32"/>
          <w:szCs w:val="32"/>
        </w:rPr>
        <w:t>（18）承办上级交办的其他工作。</w:t>
      </w:r>
    </w:p>
    <w:p>
      <w:pPr>
        <w:pStyle w:val="6"/>
        <w:numPr>
          <w:ilvl w:val="0"/>
          <w:numId w:val="4"/>
        </w:numPr>
        <w:ind w:firstLineChars="0"/>
        <w:jc w:val="left"/>
        <w:outlineLvl w:val="1"/>
        <w:rPr>
          <w:rFonts w:ascii="黑体" w:hAnsi="黑体" w:eastAsia="黑体" w:cs="仿宋_GB2312"/>
          <w:sz w:val="32"/>
          <w:szCs w:val="32"/>
          <w:u w:val="none"/>
        </w:rPr>
      </w:pPr>
      <w:r>
        <w:rPr>
          <w:rFonts w:hint="eastAsia" w:ascii="黑体" w:hAnsi="黑体" w:eastAsia="黑体" w:cs="仿宋_GB2312"/>
          <w:sz w:val="32"/>
          <w:szCs w:val="32"/>
          <w:u w:val="none"/>
        </w:rPr>
        <w:t>部门预算单位构成</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纳入海南省第二中级人民法院（部门）202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年部门预算编制范围只有部门本级1家预算单位。</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琼编办[2008]74号批复核定我院独立编制机构为政法机关1个，内设18个职能部门和机关党委（机关工会）。另琼编办[2015]395号文件将我院的15名事业编制工勤人员划拨至机关后勤服务中心，但因机关后勤服务中心还未独立核算，故我院本年度机构数为1个，15名事业编制人员列入我院编制人数中。机构情况本年无变动。</w:t>
      </w:r>
    </w:p>
    <w:p>
      <w:pPr>
        <w:ind w:firstLine="640" w:firstLineChars="200"/>
        <w:jc w:val="left"/>
        <w:rPr>
          <w:rFonts w:hint="eastAsia" w:ascii="仿宋_GB2312" w:hAnsi="黑体" w:eastAsia="仿宋_GB2312" w:cs="仿宋_GB2312"/>
          <w:sz w:val="32"/>
          <w:szCs w:val="32"/>
        </w:rPr>
      </w:pPr>
    </w:p>
    <w:p>
      <w:pPr>
        <w:ind w:firstLine="640" w:firstLineChars="200"/>
        <w:outlineLvl w:val="0"/>
        <w:rPr>
          <w:rFonts w:hint="eastAsia" w:ascii="黑体" w:hAnsi="黑体" w:eastAsia="黑体"/>
          <w:sz w:val="32"/>
          <w:szCs w:val="32"/>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仿宋_GB2312" w:hAnsi="黑体" w:eastAsia="仿宋_GB2312" w:cs="仿宋_GB2312"/>
          <w:sz w:val="32"/>
          <w:szCs w:val="32"/>
        </w:rPr>
        <w:t xml:space="preserve"> </w:t>
      </w:r>
      <w:r>
        <w:rPr>
          <w:rFonts w:hint="eastAsia" w:ascii="黑体" w:hAnsi="黑体" w:eastAsia="黑体" w:cs="仿宋_GB2312"/>
          <w:sz w:val="32"/>
          <w:szCs w:val="32"/>
        </w:rPr>
        <w:t>海南省第二中级人民法院202</w:t>
      </w:r>
      <w:r>
        <w:rPr>
          <w:rFonts w:hint="eastAsia" w:ascii="黑体" w:hAnsi="黑体" w:eastAsia="黑体" w:cs="仿宋_GB2312"/>
          <w:sz w:val="32"/>
          <w:szCs w:val="32"/>
          <w:lang w:val="en-US" w:eastAsia="zh-CN"/>
        </w:rPr>
        <w:t>4</w:t>
      </w:r>
      <w:r>
        <w:rPr>
          <w:rFonts w:hint="eastAsia" w:ascii="黑体" w:hAnsi="黑体" w:eastAsia="黑体"/>
          <w:sz w:val="32"/>
          <w:szCs w:val="32"/>
        </w:rPr>
        <w:t>年</w:t>
      </w:r>
    </w:p>
    <w:p>
      <w:pPr>
        <w:ind w:firstLine="3840" w:firstLineChars="1200"/>
        <w:rPr>
          <w:rFonts w:ascii="黑体" w:hAnsi="黑体" w:eastAsia="黑体"/>
          <w:sz w:val="32"/>
          <w:szCs w:val="32"/>
          <w:u w:val="none"/>
        </w:rPr>
      </w:pPr>
      <w:r>
        <w:rPr>
          <w:rFonts w:hint="eastAsia" w:ascii="黑体" w:hAnsi="黑体" w:eastAsia="黑体"/>
          <w:sz w:val="32"/>
          <w:szCs w:val="32"/>
        </w:rPr>
        <w:t>部门预算表</w:t>
      </w:r>
    </w:p>
    <w:p>
      <w:pPr>
        <w:ind w:left="800"/>
        <w:jc w:val="left"/>
        <w:rPr>
          <w:rFonts w:ascii="黑体" w:hAnsi="黑体" w:eastAsia="黑体"/>
          <w:sz w:val="32"/>
          <w:szCs w:val="32"/>
          <w:u w:val="none"/>
        </w:rPr>
      </w:pPr>
    </w:p>
    <w:p>
      <w:pPr>
        <w:ind w:left="800"/>
        <w:jc w:val="center"/>
        <w:outlineLvl w:val="1"/>
        <w:rPr>
          <w:rFonts w:ascii="仿宋_GB2312" w:hAnsi="黑体" w:eastAsia="仿宋_GB2312"/>
          <w:b/>
          <w:color w:val="auto"/>
          <w:sz w:val="32"/>
          <w:szCs w:val="32"/>
          <w:u w:val="none"/>
        </w:rPr>
      </w:pPr>
      <w:r>
        <w:rPr>
          <w:rFonts w:hint="eastAsia" w:ascii="仿宋_GB2312" w:hAnsi="黑体" w:eastAsia="仿宋_GB2312"/>
          <w:b/>
          <w:color w:val="auto"/>
          <w:sz w:val="32"/>
          <w:szCs w:val="32"/>
          <w:u w:val="none"/>
        </w:rPr>
        <w:t>（此部分内容</w:t>
      </w:r>
      <w:bookmarkStart w:id="0" w:name="_GoBack"/>
      <w:bookmarkEnd w:id="0"/>
      <w:r>
        <w:rPr>
          <w:rFonts w:hint="eastAsia" w:ascii="仿宋_GB2312" w:hAnsi="黑体" w:eastAsia="仿宋_GB2312"/>
          <w:b/>
          <w:color w:val="auto"/>
          <w:sz w:val="32"/>
          <w:szCs w:val="32"/>
          <w:u w:val="none"/>
        </w:rPr>
        <w:t>即为部门预算公开表</w:t>
      </w:r>
      <w:r>
        <w:rPr>
          <w:rFonts w:hint="eastAsia" w:ascii="仿宋_GB2312" w:hAnsi="黑体" w:eastAsia="仿宋_GB2312"/>
          <w:b/>
          <w:color w:val="auto"/>
          <w:sz w:val="32"/>
          <w:szCs w:val="32"/>
          <w:u w:val="none"/>
          <w:lang w:eastAsia="zh-CN"/>
        </w:rPr>
        <w:t>，详见附件</w:t>
      </w:r>
      <w:r>
        <w:rPr>
          <w:rFonts w:hint="eastAsia" w:ascii="仿宋_GB2312" w:hAnsi="黑体" w:eastAsia="仿宋_GB2312"/>
          <w:b/>
          <w:color w:val="auto"/>
          <w:sz w:val="32"/>
          <w:szCs w:val="32"/>
          <w:u w:val="none"/>
        </w:rPr>
        <w:t>）</w:t>
      </w:r>
    </w:p>
    <w:p>
      <w:pPr>
        <w:rPr>
          <w:rFonts w:ascii="黑体" w:hAnsi="黑体" w:eastAsia="黑体"/>
          <w:sz w:val="32"/>
          <w:szCs w:val="32"/>
          <w:u w:val="none"/>
        </w:rPr>
      </w:pPr>
    </w:p>
    <w:p>
      <w:pPr>
        <w:ind w:firstLine="480" w:firstLineChars="150"/>
        <w:jc w:val="left"/>
        <w:outlineLvl w:val="0"/>
        <w:rPr>
          <w:rFonts w:hint="eastAsia" w:ascii="黑体" w:hAnsi="黑体" w:eastAsia="黑体"/>
          <w:sz w:val="32"/>
          <w:szCs w:val="32"/>
        </w:rPr>
      </w:pPr>
      <w:r>
        <w:rPr>
          <w:rFonts w:hint="eastAsia" w:ascii="黑体" w:hAnsi="黑体" w:eastAsia="黑体"/>
          <w:sz w:val="32"/>
          <w:szCs w:val="32"/>
          <w:u w:val="none"/>
        </w:rPr>
        <w:t xml:space="preserve">第三部分  </w:t>
      </w:r>
      <w:r>
        <w:rPr>
          <w:rFonts w:hint="eastAsia" w:ascii="黑体" w:hAnsi="黑体" w:eastAsia="黑体" w:cs="仿宋_GB2312"/>
          <w:sz w:val="32"/>
          <w:szCs w:val="32"/>
        </w:rPr>
        <w:t>海南省第二中级人民法院202</w:t>
      </w:r>
      <w:r>
        <w:rPr>
          <w:rFonts w:hint="eastAsia" w:ascii="黑体" w:hAnsi="黑体" w:eastAsia="黑体" w:cs="仿宋_GB2312"/>
          <w:sz w:val="32"/>
          <w:szCs w:val="32"/>
          <w:lang w:val="en-US" w:eastAsia="zh-CN"/>
        </w:rPr>
        <w:t>4</w:t>
      </w:r>
      <w:r>
        <w:rPr>
          <w:rFonts w:hint="eastAsia" w:ascii="黑体" w:hAnsi="黑体" w:eastAsia="黑体"/>
          <w:sz w:val="32"/>
          <w:szCs w:val="32"/>
        </w:rPr>
        <w:t>年部门</w:t>
      </w:r>
    </w:p>
    <w:p>
      <w:pPr>
        <w:ind w:firstLine="3360" w:firstLineChars="1050"/>
        <w:jc w:val="left"/>
        <w:rPr>
          <w:rFonts w:ascii="黑体" w:hAnsi="黑体" w:eastAsia="黑体"/>
          <w:sz w:val="32"/>
          <w:szCs w:val="32"/>
          <w:u w:val="none"/>
        </w:rPr>
      </w:pPr>
      <w:r>
        <w:rPr>
          <w:rFonts w:hint="eastAsia" w:ascii="黑体" w:hAnsi="黑体" w:eastAsia="黑体"/>
          <w:sz w:val="32"/>
          <w:szCs w:val="32"/>
        </w:rPr>
        <w:t>预算情况说明</w:t>
      </w:r>
    </w:p>
    <w:p>
      <w:pPr>
        <w:ind w:firstLine="640" w:firstLineChars="200"/>
        <w:jc w:val="left"/>
        <w:outlineLvl w:val="1"/>
        <w:rPr>
          <w:rFonts w:ascii="黑体" w:hAnsi="黑体" w:eastAsia="黑体"/>
          <w:sz w:val="32"/>
          <w:szCs w:val="32"/>
          <w:u w:val="none"/>
        </w:rPr>
      </w:pPr>
      <w:r>
        <w:rPr>
          <w:rFonts w:hint="eastAsia" w:ascii="黑体" w:hAnsi="黑体" w:eastAsia="黑体"/>
          <w:sz w:val="32"/>
          <w:szCs w:val="32"/>
          <w:u w:val="none"/>
        </w:rPr>
        <w:t>一、</w:t>
      </w:r>
      <w:r>
        <w:rPr>
          <w:rFonts w:hint="eastAsia" w:ascii="黑体" w:hAnsi="黑体" w:eastAsia="黑体" w:cs="仿宋_GB2312"/>
          <w:sz w:val="32"/>
          <w:szCs w:val="32"/>
        </w:rPr>
        <w:t>海南省第二中级人民法院202</w:t>
      </w:r>
      <w:r>
        <w:rPr>
          <w:rFonts w:hint="eastAsia" w:ascii="黑体" w:hAnsi="黑体" w:eastAsia="黑体" w:cs="仿宋_GB2312"/>
          <w:sz w:val="32"/>
          <w:szCs w:val="32"/>
          <w:lang w:val="en-US" w:eastAsia="zh-CN"/>
        </w:rPr>
        <w:t>4</w:t>
      </w:r>
      <w:r>
        <w:rPr>
          <w:rFonts w:hint="eastAsia" w:ascii="黑体" w:hAnsi="黑体" w:eastAsia="黑体"/>
          <w:sz w:val="32"/>
          <w:szCs w:val="32"/>
        </w:rPr>
        <w:t>年</w:t>
      </w:r>
      <w:r>
        <w:rPr>
          <w:rFonts w:hint="eastAsia" w:ascii="黑体" w:hAnsi="黑体" w:eastAsia="黑体"/>
          <w:sz w:val="32"/>
          <w:szCs w:val="32"/>
          <w:u w:val="none"/>
        </w:rPr>
        <w:t>财政拨款收支预算情况的总体说明</w:t>
      </w:r>
    </w:p>
    <w:p>
      <w:pPr>
        <w:spacing w:line="560" w:lineRule="exact"/>
        <w:ind w:firstLine="640" w:firstLineChars="200"/>
        <w:jc w:val="left"/>
        <w:rPr>
          <w:rFonts w:ascii="仿宋_GB2312" w:hAnsi="黑体" w:eastAsia="仿宋_GB2312"/>
          <w:sz w:val="32"/>
          <w:szCs w:val="32"/>
          <w:u w:val="none"/>
        </w:rPr>
      </w:pPr>
      <w:r>
        <w:rPr>
          <w:rFonts w:hint="eastAsia" w:ascii="仿宋_GB2312" w:hAnsi="仿宋_GB2312" w:eastAsia="仿宋_GB2312" w:cs="仿宋_GB2312"/>
          <w:sz w:val="32"/>
          <w:szCs w:val="32"/>
        </w:rPr>
        <w:t>海南省第二中级人民法院（部门）202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none"/>
        </w:rPr>
        <w:t>财政拨款收支总预算8,040.12万元</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比上年预算数增加</w:t>
      </w:r>
      <w:r>
        <w:rPr>
          <w:rFonts w:hint="eastAsia" w:ascii="仿宋_GB2312" w:hAnsi="仿宋_GB2312" w:eastAsia="仿宋_GB2312" w:cs="仿宋_GB2312"/>
          <w:sz w:val="32"/>
          <w:szCs w:val="32"/>
          <w:u w:val="none"/>
          <w:lang w:val="en-US" w:eastAsia="zh-CN"/>
        </w:rPr>
        <w:t>549.02</w:t>
      </w:r>
      <w:r>
        <w:rPr>
          <w:rFonts w:hint="eastAsia" w:ascii="仿宋_GB2312" w:hAnsi="仿宋_GB2312" w:eastAsia="仿宋_GB2312" w:cs="仿宋_GB2312"/>
          <w:sz w:val="32"/>
          <w:szCs w:val="32"/>
          <w:u w:val="none"/>
        </w:rPr>
        <w:t>万元，主要</w:t>
      </w:r>
      <w:r>
        <w:rPr>
          <w:rFonts w:hint="eastAsia" w:ascii="仿宋_GB2312" w:hAnsi="仿宋_GB2312" w:eastAsia="仿宋_GB2312" w:cs="仿宋_GB2312"/>
          <w:sz w:val="32"/>
          <w:szCs w:val="32"/>
          <w:u w:val="none"/>
          <w:lang w:eastAsia="zh-CN"/>
        </w:rPr>
        <w:t>原因一是增加两个一次性项目，二是发放海南自贸港建设津贴</w:t>
      </w:r>
      <w:r>
        <w:rPr>
          <w:rFonts w:hint="eastAsia" w:ascii="仿宋_GB2312" w:hAnsi="仿宋_GB2312" w:eastAsia="仿宋_GB2312" w:cs="仿宋_GB2312"/>
          <w:sz w:val="32"/>
          <w:szCs w:val="32"/>
          <w:u w:val="none"/>
        </w:rPr>
        <w:t>。其中，收入总计8,040.12万元，包括一般公共预算本年收入7,788.90万元、上年结转251.22万元，政府性基金预算本年收入</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万元、上年结转</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万元；支出总计8,040.12万元，</w:t>
      </w:r>
      <w:r>
        <w:rPr>
          <w:rFonts w:hint="eastAsia" w:ascii="仿宋_GB2312" w:hAnsi="仿宋_GB2312" w:eastAsia="仿宋_GB2312" w:cs="仿宋_GB2312"/>
          <w:sz w:val="32"/>
          <w:szCs w:val="32"/>
        </w:rPr>
        <w:t>包括公共安全支出6,638.84万元、社会保障和就业支出918.01万元、卫生健康支出161.99万元、住房保障支出321.28万元，结转下年</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ind w:firstLine="640"/>
        <w:jc w:val="left"/>
        <w:outlineLvl w:val="1"/>
        <w:rPr>
          <w:rFonts w:ascii="黑体" w:hAnsi="黑体" w:eastAsia="黑体"/>
          <w:sz w:val="32"/>
          <w:szCs w:val="32"/>
          <w:u w:val="none"/>
        </w:rPr>
      </w:pPr>
      <w:r>
        <w:rPr>
          <w:rFonts w:hint="eastAsia" w:ascii="黑体" w:hAnsi="黑体" w:eastAsia="黑体"/>
          <w:sz w:val="32"/>
          <w:szCs w:val="32"/>
          <w:u w:val="none"/>
        </w:rPr>
        <w:t>二、</w:t>
      </w:r>
      <w:r>
        <w:rPr>
          <w:rFonts w:hint="eastAsia" w:ascii="黑体" w:hAnsi="黑体" w:eastAsia="黑体" w:cs="仿宋_GB2312"/>
          <w:sz w:val="32"/>
          <w:szCs w:val="32"/>
        </w:rPr>
        <w:t>海南省第二中级人民法院202</w:t>
      </w:r>
      <w:r>
        <w:rPr>
          <w:rFonts w:hint="eastAsia" w:ascii="黑体" w:hAnsi="黑体" w:eastAsia="黑体" w:cs="仿宋_GB2312"/>
          <w:sz w:val="32"/>
          <w:szCs w:val="32"/>
          <w:lang w:val="en-US" w:eastAsia="zh-CN"/>
        </w:rPr>
        <w:t>4</w:t>
      </w:r>
      <w:r>
        <w:rPr>
          <w:rFonts w:hint="eastAsia" w:ascii="黑体" w:hAnsi="黑体" w:eastAsia="黑体"/>
          <w:sz w:val="32"/>
          <w:szCs w:val="32"/>
          <w:u w:val="none"/>
          <w:lang w:eastAsia="zh-CN"/>
        </w:rPr>
        <w:t>年</w:t>
      </w:r>
      <w:r>
        <w:rPr>
          <w:rFonts w:hint="eastAsia" w:ascii="黑体" w:hAnsi="黑体" w:eastAsia="黑体"/>
          <w:sz w:val="32"/>
          <w:szCs w:val="32"/>
          <w:u w:val="none"/>
        </w:rPr>
        <w:t>一般公共预算当年拨款情况说明</w:t>
      </w:r>
    </w:p>
    <w:p>
      <w:pPr>
        <w:ind w:firstLine="640"/>
        <w:jc w:val="left"/>
        <w:outlineLvl w:val="2"/>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rPr>
        <w:t>海南省第二中级人民法院（部门）</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sz w:val="32"/>
          <w:szCs w:val="32"/>
          <w:u w:val="none"/>
        </w:rPr>
        <w:t>一般公共预算当年拨款</w:t>
      </w:r>
      <w:r>
        <w:rPr>
          <w:rFonts w:hint="eastAsia" w:ascii="仿宋_GB2312" w:hAnsi="黑体" w:eastAsia="仿宋_GB2312" w:cs="仿宋_GB2312"/>
          <w:sz w:val="32"/>
          <w:szCs w:val="32"/>
          <w:u w:val="none"/>
        </w:rPr>
        <w:t>8,040.12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549.02</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eastAsia="zh-CN"/>
        </w:rPr>
        <w:t>原因一是增加两个一次性项目，二是发放海南自贸港建设津贴</w:t>
      </w:r>
      <w:r>
        <w:rPr>
          <w:rFonts w:hint="eastAsia" w:ascii="仿宋_GB2312" w:hAnsi="黑体" w:eastAsia="仿宋_GB2312"/>
          <w:sz w:val="32"/>
          <w:szCs w:val="32"/>
          <w:u w:val="none"/>
        </w:rPr>
        <w:t>。</w:t>
      </w:r>
    </w:p>
    <w:p>
      <w:pPr>
        <w:ind w:firstLine="640"/>
        <w:jc w:val="left"/>
        <w:outlineLvl w:val="2"/>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60" w:lineRule="exact"/>
        <w:ind w:firstLine="800" w:firstLineChars="250"/>
        <w:rPr>
          <w:rFonts w:ascii="仿宋_GB2312" w:hAnsi="黑体" w:eastAsia="仿宋_GB2312"/>
          <w:sz w:val="32"/>
          <w:szCs w:val="32"/>
        </w:rPr>
      </w:pPr>
      <w:r>
        <w:rPr>
          <w:rFonts w:hint="eastAsia" w:ascii="仿宋_GB2312" w:hAnsi="黑体" w:eastAsia="仿宋_GB2312"/>
          <w:color w:val="000000"/>
          <w:sz w:val="32"/>
          <w:szCs w:val="32"/>
        </w:rPr>
        <w:t>公共安全</w:t>
      </w:r>
      <w:r>
        <w:rPr>
          <w:rFonts w:hint="eastAsia" w:ascii="仿宋_GB2312" w:hAnsi="黑体" w:eastAsia="仿宋_GB2312" w:cs="仿宋_GB2312"/>
          <w:sz w:val="32"/>
          <w:szCs w:val="32"/>
        </w:rPr>
        <w:t>（类）支出</w:t>
      </w:r>
      <w:r>
        <w:rPr>
          <w:rFonts w:hint="eastAsia" w:ascii="仿宋_GB2312" w:hAnsi="黑体" w:eastAsia="仿宋_GB2312" w:cs="仿宋_GB2312"/>
          <w:color w:val="000000"/>
          <w:sz w:val="32"/>
          <w:szCs w:val="32"/>
        </w:rPr>
        <w:t>6638.84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82.57</w:t>
      </w:r>
      <w:r>
        <w:rPr>
          <w:rFonts w:hint="eastAsia" w:ascii="仿宋_GB2312" w:hAnsi="黑体" w:eastAsia="仿宋_GB2312"/>
          <w:sz w:val="32"/>
          <w:szCs w:val="32"/>
        </w:rPr>
        <w:t>%；</w:t>
      </w:r>
      <w:r>
        <w:rPr>
          <w:rFonts w:hint="eastAsia" w:ascii="仿宋_GB2312" w:hAnsi="黑体" w:eastAsia="仿宋_GB2312"/>
          <w:color w:val="000000"/>
          <w:sz w:val="32"/>
          <w:szCs w:val="32"/>
        </w:rPr>
        <w:t>社会保障和就业</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color w:val="000000"/>
          <w:sz w:val="32"/>
          <w:szCs w:val="32"/>
        </w:rPr>
        <w:t>918.01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11.42</w:t>
      </w:r>
      <w:r>
        <w:rPr>
          <w:rFonts w:hint="eastAsia" w:ascii="仿宋_GB2312" w:hAnsi="黑体" w:eastAsia="仿宋_GB2312"/>
          <w:sz w:val="32"/>
          <w:szCs w:val="32"/>
        </w:rPr>
        <w:t>%；</w:t>
      </w:r>
      <w:r>
        <w:rPr>
          <w:rFonts w:hint="eastAsia" w:ascii="仿宋_GB2312" w:hAnsi="黑体" w:eastAsia="仿宋_GB2312"/>
          <w:color w:val="000000"/>
          <w:sz w:val="32"/>
          <w:szCs w:val="32"/>
        </w:rPr>
        <w:t>卫生健康</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color w:val="000000"/>
          <w:sz w:val="32"/>
          <w:szCs w:val="32"/>
        </w:rPr>
        <w:t>161.99</w:t>
      </w:r>
      <w:r>
        <w:rPr>
          <w:rFonts w:hint="eastAsia" w:ascii="仿宋_GB2312" w:hAnsi="黑体" w:eastAsia="仿宋_GB2312"/>
          <w:sz w:val="32"/>
          <w:szCs w:val="32"/>
        </w:rPr>
        <w:t>万元，占</w:t>
      </w:r>
      <w:r>
        <w:rPr>
          <w:rFonts w:ascii="仿宋_GB2312" w:hAnsi="黑体" w:eastAsia="仿宋_GB2312" w:cs="仿宋_GB2312"/>
          <w:sz w:val="32"/>
          <w:szCs w:val="32"/>
        </w:rPr>
        <w:t>2.</w:t>
      </w:r>
      <w:r>
        <w:rPr>
          <w:rFonts w:hint="eastAsia" w:ascii="仿宋_GB2312" w:hAnsi="黑体" w:eastAsia="仿宋_GB2312" w:cs="仿宋_GB2312"/>
          <w:sz w:val="32"/>
          <w:szCs w:val="32"/>
          <w:lang w:val="en-US" w:eastAsia="zh-CN"/>
        </w:rPr>
        <w:t>01</w:t>
      </w:r>
      <w:r>
        <w:rPr>
          <w:rFonts w:hint="eastAsia" w:ascii="仿宋_GB2312" w:hAnsi="黑体" w:eastAsia="仿宋_GB2312"/>
          <w:sz w:val="32"/>
          <w:szCs w:val="32"/>
        </w:rPr>
        <w:t>%；</w:t>
      </w:r>
      <w:r>
        <w:rPr>
          <w:rFonts w:hint="eastAsia" w:ascii="仿宋_GB2312" w:hAnsi="黑体" w:eastAsia="仿宋_GB2312"/>
          <w:color w:val="000000"/>
          <w:sz w:val="32"/>
          <w:szCs w:val="32"/>
        </w:rPr>
        <w:t>住房保障</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olor w:val="000000"/>
          <w:sz w:val="32"/>
          <w:szCs w:val="32"/>
        </w:rPr>
        <w:t>321.28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4</w:t>
      </w:r>
      <w:r>
        <w:rPr>
          <w:rFonts w:hint="eastAsia" w:ascii="仿宋_GB2312" w:hAnsi="黑体" w:eastAsia="仿宋_GB2312"/>
          <w:sz w:val="32"/>
          <w:szCs w:val="32"/>
        </w:rPr>
        <w:t>%。</w:t>
      </w:r>
    </w:p>
    <w:p>
      <w:pPr>
        <w:ind w:firstLine="640" w:firstLineChars="200"/>
        <w:jc w:val="left"/>
        <w:outlineLvl w:val="2"/>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56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1.公共安全支出（类）法院（款）行政运行（项）202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cs="仿宋_GB2312"/>
          <w:sz w:val="32"/>
          <w:szCs w:val="32"/>
        </w:rPr>
        <w:t>4485.83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rPr>
        <w:t>256.66</w:t>
      </w:r>
      <w:r>
        <w:rPr>
          <w:rFonts w:hint="eastAsia" w:ascii="仿宋_GB2312" w:hAnsi="黑体" w:eastAsia="仿宋_GB2312"/>
          <w:sz w:val="32"/>
          <w:szCs w:val="32"/>
        </w:rPr>
        <w:t>万元，主要是</w:t>
      </w:r>
      <w:r>
        <w:rPr>
          <w:rFonts w:hint="eastAsia" w:ascii="仿宋_GB2312" w:hAnsi="黑体" w:eastAsia="仿宋_GB2312"/>
          <w:sz w:val="32"/>
          <w:szCs w:val="32"/>
          <w:u w:val="none"/>
          <w:lang w:eastAsia="zh-CN"/>
        </w:rPr>
        <w:t>发放海南自贸港建设津贴</w:t>
      </w:r>
      <w:r>
        <w:rPr>
          <w:rFonts w:hint="eastAsia" w:ascii="仿宋_GB2312" w:hAnsi="黑体" w:eastAsia="仿宋_GB2312"/>
          <w:sz w:val="32"/>
          <w:szCs w:val="32"/>
        </w:rPr>
        <w:t>。</w:t>
      </w:r>
    </w:p>
    <w:p>
      <w:pPr>
        <w:spacing w:line="560" w:lineRule="exact"/>
        <w:ind w:firstLine="640" w:firstLineChars="200"/>
        <w:rPr>
          <w:rFonts w:hint="eastAsia" w:ascii="仿宋_GB2312" w:hAnsi="黑体" w:eastAsia="仿宋_GB2312" w:cs="仿宋_GB2312"/>
          <w:sz w:val="32"/>
          <w:szCs w:val="32"/>
          <w:highlight w:val="none"/>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公共安全支出（类）法院（款）一般行政管理事务（项）202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cs="仿宋_GB2312"/>
          <w:sz w:val="32"/>
          <w:szCs w:val="32"/>
        </w:rPr>
        <w:t>151.28</w:t>
      </w:r>
      <w:r>
        <w:rPr>
          <w:rFonts w:hint="eastAsia" w:ascii="仿宋_GB2312" w:hAnsi="黑体" w:eastAsia="仿宋_GB2312"/>
          <w:sz w:val="32"/>
          <w:szCs w:val="32"/>
        </w:rPr>
        <w:t>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lang w:eastAsia="zh-CN"/>
        </w:rPr>
        <w:t>增加</w:t>
      </w:r>
      <w:r>
        <w:rPr>
          <w:rFonts w:hint="eastAsia" w:ascii="仿宋_GB2312" w:hAnsi="黑体" w:eastAsia="仿宋_GB2312" w:cs="仿宋_GB2312"/>
          <w:sz w:val="32"/>
          <w:szCs w:val="32"/>
          <w:highlight w:val="none"/>
          <w:lang w:val="en-US" w:eastAsia="zh-CN"/>
        </w:rPr>
        <w:t>151.28</w:t>
      </w:r>
      <w:r>
        <w:rPr>
          <w:rFonts w:hint="eastAsia" w:ascii="仿宋_GB2312" w:hAnsi="黑体" w:eastAsia="仿宋_GB2312"/>
          <w:sz w:val="32"/>
          <w:szCs w:val="32"/>
          <w:highlight w:val="none"/>
        </w:rPr>
        <w:t>万元，主要原因</w:t>
      </w:r>
      <w:r>
        <w:rPr>
          <w:rFonts w:hint="eastAsia" w:ascii="仿宋_GB2312" w:hAnsi="黑体" w:eastAsia="仿宋_GB2312"/>
          <w:sz w:val="32"/>
          <w:szCs w:val="32"/>
          <w:highlight w:val="none"/>
          <w:lang w:eastAsia="zh-CN"/>
        </w:rPr>
        <w:t>：以上数据实际是“综合运行事务”预算项目，根据</w:t>
      </w:r>
      <w:r>
        <w:rPr>
          <w:rFonts w:hint="eastAsia" w:ascii="仿宋_GB2312" w:hAnsi="黑体" w:eastAsia="仿宋_GB2312"/>
          <w:sz w:val="32"/>
          <w:szCs w:val="32"/>
          <w:highlight w:val="none"/>
          <w:lang w:val="en-US" w:eastAsia="zh-CN"/>
        </w:rPr>
        <w:t>2024年度预算编制要求</w:t>
      </w:r>
      <w:r>
        <w:rPr>
          <w:rFonts w:hint="eastAsia" w:ascii="仿宋_GB2312" w:hAnsi="黑体" w:eastAsia="仿宋_GB2312"/>
          <w:sz w:val="32"/>
          <w:szCs w:val="32"/>
          <w:highlight w:val="none"/>
          <w:lang w:eastAsia="zh-CN"/>
        </w:rPr>
        <w:t>该项目支出功能分类由</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其他法院支出”调整到“一般行政管理事务”；</w:t>
      </w:r>
      <w:r>
        <w:rPr>
          <w:rFonts w:hint="eastAsia" w:ascii="仿宋_GB2312" w:hAnsi="黑体" w:eastAsia="仿宋_GB2312" w:cs="仿宋_GB2312"/>
          <w:sz w:val="32"/>
          <w:szCs w:val="32"/>
          <w:highlight w:val="none"/>
          <w:lang w:eastAsia="zh-CN"/>
        </w:rPr>
        <w:t>故实际比上年</w:t>
      </w:r>
      <w:r>
        <w:rPr>
          <w:rFonts w:hint="eastAsia" w:ascii="仿宋_GB2312" w:hAnsi="黑体" w:eastAsia="仿宋_GB2312"/>
          <w:sz w:val="32"/>
          <w:szCs w:val="32"/>
          <w:highlight w:val="none"/>
          <w:lang w:eastAsia="zh-CN"/>
        </w:rPr>
        <w:t>“综合运行事务”</w:t>
      </w:r>
      <w:r>
        <w:rPr>
          <w:rFonts w:hint="eastAsia" w:ascii="仿宋_GB2312" w:hAnsi="黑体" w:eastAsia="仿宋_GB2312" w:cs="仿宋_GB2312"/>
          <w:sz w:val="32"/>
          <w:szCs w:val="32"/>
          <w:highlight w:val="none"/>
          <w:lang w:eastAsia="zh-CN"/>
        </w:rPr>
        <w:t>预算数减少</w:t>
      </w:r>
      <w:r>
        <w:rPr>
          <w:rFonts w:hint="eastAsia" w:ascii="仿宋_GB2312" w:hAnsi="黑体" w:eastAsia="仿宋_GB2312" w:cs="仿宋_GB2312"/>
          <w:sz w:val="32"/>
          <w:szCs w:val="32"/>
          <w:highlight w:val="none"/>
          <w:lang w:val="en-US" w:eastAsia="zh-CN"/>
        </w:rPr>
        <w:t>10.32万元，减少率6.39%，主要原因是2023年度是</w:t>
      </w:r>
      <w:r>
        <w:rPr>
          <w:rFonts w:hint="eastAsia" w:ascii="仿宋_GB2312" w:hAnsi="黑体" w:eastAsia="仿宋_GB2312"/>
          <w:sz w:val="32"/>
          <w:szCs w:val="32"/>
          <w:highlight w:val="none"/>
          <w:lang w:eastAsia="zh-CN"/>
        </w:rPr>
        <w:t>制服换装年。</w:t>
      </w:r>
    </w:p>
    <w:p>
      <w:pPr>
        <w:spacing w:line="56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3</w:t>
      </w:r>
      <w:r>
        <w:rPr>
          <w:rFonts w:hint="eastAsia" w:ascii="仿宋_GB2312" w:hAnsi="黑体" w:eastAsia="仿宋_GB2312"/>
          <w:sz w:val="32"/>
          <w:szCs w:val="32"/>
        </w:rPr>
        <w:t>.</w:t>
      </w:r>
      <w:r>
        <w:rPr>
          <w:rFonts w:hint="eastAsia" w:ascii="仿宋_GB2312" w:hAnsi="黑体" w:eastAsia="仿宋_GB2312" w:cs="仿宋_GB2312"/>
          <w:sz w:val="32"/>
          <w:szCs w:val="32"/>
        </w:rPr>
        <w:t>公共安全支出（类）法院（款）案件审判（项）202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cs="仿宋_GB2312"/>
          <w:sz w:val="32"/>
          <w:szCs w:val="32"/>
        </w:rPr>
        <w:t>894.27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rPr>
        <w:t>14.14</w:t>
      </w:r>
      <w:r>
        <w:rPr>
          <w:rFonts w:hint="eastAsia" w:ascii="仿宋_GB2312" w:hAnsi="黑体" w:eastAsia="仿宋_GB2312"/>
          <w:sz w:val="32"/>
          <w:szCs w:val="32"/>
        </w:rPr>
        <w:t>万元，主要原因</w:t>
      </w:r>
      <w:r>
        <w:rPr>
          <w:rFonts w:hint="eastAsia" w:ascii="仿宋_GB2312" w:hAnsi="黑体" w:eastAsia="仿宋_GB2312"/>
          <w:sz w:val="32"/>
          <w:szCs w:val="32"/>
          <w:lang w:eastAsia="zh-CN"/>
        </w:rPr>
        <w:t>是根据案件量逐年增加的趋势适当增加办案费用</w:t>
      </w:r>
      <w:r>
        <w:rPr>
          <w:rFonts w:hint="eastAsia" w:ascii="仿宋_GB2312" w:hAnsi="黑体" w:eastAsia="仿宋_GB2312"/>
          <w:sz w:val="32"/>
          <w:szCs w:val="32"/>
        </w:rPr>
        <w:t>。</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公共安全支出（类）法院（款）案件执行（项）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年预算数为20.00万元，比上年预算数</w:t>
      </w:r>
      <w:r>
        <w:rPr>
          <w:rFonts w:hint="eastAsia" w:ascii="仿宋_GB2312" w:hAnsi="黑体" w:eastAsia="仿宋_GB2312" w:cs="仿宋_GB2312"/>
          <w:sz w:val="32"/>
          <w:szCs w:val="32"/>
          <w:lang w:eastAsia="zh-CN"/>
        </w:rPr>
        <w:t>持平</w:t>
      </w:r>
      <w:r>
        <w:rPr>
          <w:rFonts w:hint="eastAsia" w:ascii="仿宋_GB2312" w:hAnsi="黑体" w:eastAsia="仿宋_GB2312"/>
          <w:sz w:val="32"/>
          <w:szCs w:val="32"/>
        </w:rPr>
        <w:t>。</w:t>
      </w:r>
    </w:p>
    <w:p>
      <w:pPr>
        <w:spacing w:line="56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公共安全支出（类）法院（款）“两庭”建设（项）202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cs="仿宋_GB2312"/>
          <w:sz w:val="32"/>
          <w:szCs w:val="32"/>
        </w:rPr>
        <w:t>419.94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增加419.94</w:t>
      </w:r>
      <w:r>
        <w:rPr>
          <w:rFonts w:hint="eastAsia" w:ascii="仿宋_GB2312" w:hAnsi="黑体" w:eastAsia="仿宋_GB2312"/>
          <w:sz w:val="32"/>
          <w:szCs w:val="32"/>
        </w:rPr>
        <w:t>万元，主要原因</w:t>
      </w:r>
      <w:r>
        <w:rPr>
          <w:rFonts w:hint="eastAsia" w:ascii="仿宋_GB2312" w:hAnsi="黑体" w:eastAsia="仿宋_GB2312" w:cs="仿宋_GB2312"/>
          <w:sz w:val="32"/>
          <w:szCs w:val="32"/>
        </w:rPr>
        <w:t>新增</w:t>
      </w:r>
      <w:r>
        <w:rPr>
          <w:rFonts w:hint="eastAsia" w:ascii="仿宋_GB2312" w:hAnsi="黑体" w:eastAsia="仿宋_GB2312" w:cs="仿宋_GB2312"/>
          <w:sz w:val="32"/>
          <w:szCs w:val="32"/>
          <w:lang w:eastAsia="zh-CN"/>
        </w:rPr>
        <w:t>两个一次性</w:t>
      </w:r>
      <w:r>
        <w:rPr>
          <w:rFonts w:hint="eastAsia" w:ascii="仿宋_GB2312" w:hAnsi="黑体" w:eastAsia="仿宋_GB2312" w:cs="仿宋_GB2312"/>
          <w:sz w:val="32"/>
          <w:szCs w:val="32"/>
        </w:rPr>
        <w:t>项目</w:t>
      </w:r>
      <w:r>
        <w:rPr>
          <w:rFonts w:hint="eastAsia" w:ascii="仿宋_GB2312" w:hAnsi="黑体" w:eastAsia="仿宋_GB2312" w:cs="仿宋_GB2312"/>
          <w:sz w:val="32"/>
          <w:szCs w:val="32"/>
          <w:lang w:eastAsia="zh-CN"/>
        </w:rPr>
        <w:t>。</w:t>
      </w:r>
    </w:p>
    <w:p>
      <w:pPr>
        <w:spacing w:line="56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公共安全支出（类）法院（款）其他法院支出（项）202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cs="仿宋_GB2312"/>
          <w:sz w:val="32"/>
          <w:szCs w:val="32"/>
        </w:rPr>
        <w:t>667.52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187.58</w:t>
      </w:r>
      <w:r>
        <w:rPr>
          <w:rFonts w:hint="eastAsia" w:ascii="仿宋_GB2312" w:hAnsi="黑体" w:eastAsia="仿宋_GB2312"/>
          <w:sz w:val="32"/>
          <w:szCs w:val="32"/>
        </w:rPr>
        <w:t>万元，主要原因一是“综合运行事务”预算项目</w:t>
      </w:r>
      <w:r>
        <w:rPr>
          <w:rFonts w:hint="eastAsia" w:ascii="仿宋_GB2312" w:hAnsi="黑体" w:eastAsia="仿宋_GB2312"/>
          <w:sz w:val="32"/>
          <w:szCs w:val="32"/>
          <w:highlight w:val="none"/>
          <w:lang w:eastAsia="zh-CN"/>
        </w:rPr>
        <w:t>根据</w:t>
      </w:r>
      <w:r>
        <w:rPr>
          <w:rFonts w:hint="eastAsia" w:ascii="仿宋_GB2312" w:hAnsi="黑体" w:eastAsia="仿宋_GB2312"/>
          <w:sz w:val="32"/>
          <w:szCs w:val="32"/>
          <w:highlight w:val="none"/>
          <w:lang w:val="en-US" w:eastAsia="zh-CN"/>
        </w:rPr>
        <w:t>2024年度预算编制要求</w:t>
      </w:r>
      <w:r>
        <w:rPr>
          <w:rFonts w:hint="eastAsia" w:ascii="仿宋_GB2312" w:hAnsi="黑体" w:eastAsia="仿宋_GB2312"/>
          <w:sz w:val="32"/>
          <w:szCs w:val="32"/>
          <w:highlight w:val="none"/>
          <w:lang w:eastAsia="zh-CN"/>
        </w:rPr>
        <w:t>，支出功能分类由</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其他法院支出”调整到“一般行政管理事务”；</w:t>
      </w:r>
      <w:r>
        <w:rPr>
          <w:rFonts w:hint="eastAsia" w:ascii="仿宋_GB2312" w:hAnsi="黑体" w:eastAsia="仿宋_GB2312" w:cs="仿宋_GB2312"/>
          <w:sz w:val="32"/>
          <w:szCs w:val="32"/>
        </w:rPr>
        <w:t>二是“海南省法院信息化基础设施建设项目（2022）”</w:t>
      </w:r>
      <w:r>
        <w:rPr>
          <w:rFonts w:hint="eastAsia" w:ascii="仿宋_GB2312" w:hAnsi="黑体" w:eastAsia="仿宋_GB2312" w:cs="仿宋_GB2312"/>
          <w:sz w:val="32"/>
          <w:szCs w:val="32"/>
          <w:lang w:eastAsia="zh-CN"/>
        </w:rPr>
        <w:t>项目根据实际需求本年申请的资金相应减少。</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7</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cs="仿宋_GB2312"/>
          <w:sz w:val="32"/>
          <w:szCs w:val="32"/>
        </w:rPr>
        <w:t>363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24.6</w:t>
      </w:r>
      <w:r>
        <w:rPr>
          <w:rFonts w:hint="eastAsia" w:ascii="仿宋_GB2312" w:hAnsi="黑体" w:eastAsia="仿宋_GB2312"/>
          <w:sz w:val="32"/>
          <w:szCs w:val="32"/>
        </w:rPr>
        <w:t>万元，主要是：此项经费由系统根据人员工资表相关项目及缴费率自动计算生成，</w:t>
      </w:r>
      <w:r>
        <w:rPr>
          <w:rFonts w:hint="eastAsia" w:ascii="仿宋_GB2312" w:hAnsi="黑体" w:eastAsia="仿宋_GB2312"/>
          <w:sz w:val="32"/>
          <w:szCs w:val="32"/>
          <w:lang w:eastAsia="zh-CN"/>
        </w:rPr>
        <w:t>同时</w:t>
      </w:r>
      <w:r>
        <w:rPr>
          <w:rFonts w:hint="eastAsia" w:ascii="仿宋_GB2312" w:hAnsi="黑体" w:eastAsia="仿宋_GB2312"/>
          <w:sz w:val="32"/>
          <w:szCs w:val="32"/>
          <w:lang w:val="en-US" w:eastAsia="zh-CN"/>
        </w:rPr>
        <w:t>2024年度的预算人数同比有所减少</w:t>
      </w:r>
      <w:r>
        <w:rPr>
          <w:rFonts w:hint="eastAsia" w:ascii="仿宋_GB2312" w:hAnsi="黑体" w:eastAsia="仿宋_GB2312"/>
          <w:sz w:val="32"/>
          <w:szCs w:val="32"/>
        </w:rPr>
        <w:t>。</w:t>
      </w:r>
    </w:p>
    <w:p>
      <w:pPr>
        <w:spacing w:line="56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8</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社会保障和就业支出（类）行政事业单位养老支出（款）机关事业单位职业年金缴费支出（项）202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cs="仿宋_GB2312"/>
          <w:sz w:val="32"/>
          <w:szCs w:val="32"/>
        </w:rPr>
        <w:t>555.01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89.64</w:t>
      </w:r>
      <w:r>
        <w:rPr>
          <w:rFonts w:hint="eastAsia" w:ascii="仿宋_GB2312" w:hAnsi="黑体" w:eastAsia="仿宋_GB2312"/>
          <w:sz w:val="32"/>
          <w:szCs w:val="32"/>
        </w:rPr>
        <w:t>万元，</w:t>
      </w:r>
      <w:r>
        <w:rPr>
          <w:rFonts w:hint="eastAsia" w:ascii="仿宋_GB2312" w:hAnsi="黑体" w:eastAsia="仿宋_GB2312"/>
          <w:sz w:val="32"/>
          <w:szCs w:val="32"/>
          <w:lang w:eastAsia="zh-CN"/>
        </w:rPr>
        <w:t>主要原因是：根据省财政厅预算编制要求</w:t>
      </w:r>
      <w:r>
        <w:rPr>
          <w:rFonts w:hint="eastAsia" w:ascii="仿宋_GB2312" w:hAnsi="黑体" w:eastAsia="仿宋_GB2312"/>
          <w:sz w:val="32"/>
          <w:szCs w:val="32"/>
        </w:rPr>
        <w:t>本年度补记实201</w:t>
      </w:r>
      <w:r>
        <w:rPr>
          <w:rFonts w:hint="eastAsia" w:ascii="仿宋_GB2312" w:hAnsi="黑体" w:eastAsia="仿宋_GB2312"/>
          <w:sz w:val="32"/>
          <w:szCs w:val="32"/>
          <w:lang w:val="en-US" w:eastAsia="zh-CN"/>
        </w:rPr>
        <w:t>9</w:t>
      </w:r>
      <w:r>
        <w:rPr>
          <w:rFonts w:hint="eastAsia" w:ascii="仿宋_GB2312" w:hAnsi="黑体" w:eastAsia="仿宋_GB2312"/>
          <w:sz w:val="32"/>
          <w:szCs w:val="32"/>
        </w:rPr>
        <w:t>年-20</w:t>
      </w:r>
      <w:r>
        <w:rPr>
          <w:rFonts w:hint="eastAsia" w:ascii="仿宋_GB2312" w:hAnsi="黑体" w:eastAsia="仿宋_GB2312"/>
          <w:sz w:val="32"/>
          <w:szCs w:val="32"/>
          <w:lang w:val="en-US" w:eastAsia="zh-CN"/>
        </w:rPr>
        <w:t>21</w:t>
      </w:r>
      <w:r>
        <w:rPr>
          <w:rFonts w:hint="eastAsia" w:ascii="仿宋_GB2312" w:hAnsi="黑体" w:eastAsia="仿宋_GB2312"/>
          <w:sz w:val="32"/>
          <w:szCs w:val="32"/>
        </w:rPr>
        <w:t>年</w:t>
      </w:r>
      <w:r>
        <w:rPr>
          <w:rFonts w:hint="eastAsia" w:ascii="仿宋_GB2312" w:hAnsi="黑体" w:eastAsia="仿宋_GB2312"/>
          <w:sz w:val="32"/>
          <w:szCs w:val="32"/>
          <w:lang w:eastAsia="zh-CN"/>
        </w:rPr>
        <w:t>共</w:t>
      </w:r>
      <w:r>
        <w:rPr>
          <w:rFonts w:hint="eastAsia" w:ascii="仿宋_GB2312" w:hAnsi="黑体" w:eastAsia="仿宋_GB2312"/>
          <w:sz w:val="32"/>
          <w:szCs w:val="32"/>
          <w:lang w:val="en-US" w:eastAsia="zh-CN"/>
        </w:rPr>
        <w:t>3个年度的</w:t>
      </w:r>
      <w:r>
        <w:rPr>
          <w:rFonts w:hint="eastAsia" w:ascii="仿宋_GB2312" w:hAnsi="黑体" w:eastAsia="仿宋_GB2312"/>
          <w:sz w:val="32"/>
          <w:szCs w:val="32"/>
        </w:rPr>
        <w:t>在职人员</w:t>
      </w:r>
      <w:r>
        <w:rPr>
          <w:rFonts w:hint="eastAsia" w:ascii="仿宋_GB2312" w:hAnsi="黑体" w:eastAsia="仿宋_GB2312"/>
          <w:sz w:val="32"/>
          <w:szCs w:val="32"/>
          <w:lang w:eastAsia="zh-CN"/>
        </w:rPr>
        <w:t>单位</w:t>
      </w:r>
      <w:r>
        <w:rPr>
          <w:rFonts w:hint="eastAsia" w:ascii="仿宋_GB2312" w:hAnsi="黑体" w:eastAsia="仿宋_GB2312"/>
          <w:sz w:val="32"/>
          <w:szCs w:val="32"/>
        </w:rPr>
        <w:t>职业年金</w:t>
      </w:r>
      <w:r>
        <w:rPr>
          <w:rFonts w:hint="eastAsia" w:ascii="仿宋_GB2312" w:hAnsi="黑体" w:eastAsia="仿宋_GB2312"/>
          <w:sz w:val="32"/>
          <w:szCs w:val="32"/>
          <w:lang w:eastAsia="zh-CN"/>
        </w:rPr>
        <w:t>，而</w:t>
      </w:r>
      <w:r>
        <w:rPr>
          <w:rFonts w:hint="eastAsia" w:ascii="仿宋_GB2312" w:hAnsi="黑体" w:eastAsia="仿宋_GB2312"/>
          <w:sz w:val="32"/>
          <w:szCs w:val="32"/>
          <w:lang w:val="en-US" w:eastAsia="zh-CN"/>
        </w:rPr>
        <w:t>2023年度的预算编制补记实了</w:t>
      </w:r>
      <w:r>
        <w:rPr>
          <w:rFonts w:hint="eastAsia" w:ascii="仿宋_GB2312" w:hAnsi="黑体" w:eastAsia="仿宋_GB2312"/>
          <w:sz w:val="32"/>
          <w:szCs w:val="32"/>
        </w:rPr>
        <w:t>2014年-2018年</w:t>
      </w:r>
      <w:r>
        <w:rPr>
          <w:rFonts w:hint="eastAsia" w:ascii="仿宋_GB2312" w:hAnsi="黑体" w:eastAsia="仿宋_GB2312"/>
          <w:sz w:val="32"/>
          <w:szCs w:val="32"/>
          <w:lang w:eastAsia="zh-CN"/>
        </w:rPr>
        <w:t>共</w:t>
      </w:r>
      <w:r>
        <w:rPr>
          <w:rFonts w:hint="eastAsia" w:ascii="仿宋_GB2312" w:hAnsi="黑体" w:eastAsia="仿宋_GB2312"/>
          <w:sz w:val="32"/>
          <w:szCs w:val="32"/>
          <w:lang w:val="en-US" w:eastAsia="zh-CN"/>
        </w:rPr>
        <w:t>5个年度的</w:t>
      </w:r>
      <w:r>
        <w:rPr>
          <w:rFonts w:hint="eastAsia" w:ascii="仿宋_GB2312" w:hAnsi="黑体" w:eastAsia="仿宋_GB2312"/>
          <w:sz w:val="32"/>
          <w:szCs w:val="32"/>
        </w:rPr>
        <w:t>职人员</w:t>
      </w:r>
      <w:r>
        <w:rPr>
          <w:rFonts w:hint="eastAsia" w:ascii="仿宋_GB2312" w:hAnsi="黑体" w:eastAsia="仿宋_GB2312"/>
          <w:sz w:val="32"/>
          <w:szCs w:val="32"/>
          <w:lang w:eastAsia="zh-CN"/>
        </w:rPr>
        <w:t>单位</w:t>
      </w:r>
      <w:r>
        <w:rPr>
          <w:rFonts w:hint="eastAsia" w:ascii="仿宋_GB2312" w:hAnsi="黑体" w:eastAsia="仿宋_GB2312"/>
          <w:sz w:val="32"/>
          <w:szCs w:val="32"/>
        </w:rPr>
        <w:t>职业年金</w:t>
      </w:r>
      <w:r>
        <w:rPr>
          <w:rFonts w:hint="eastAsia" w:ascii="仿宋_GB2312" w:hAnsi="黑体" w:eastAsia="仿宋_GB2312"/>
          <w:sz w:val="32"/>
          <w:szCs w:val="32"/>
          <w:lang w:eastAsia="zh-CN"/>
        </w:rPr>
        <w:t>。</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9</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卫生健康支出（类）行政事业单位医疗（款）行政单位医疗（项）20</w:t>
      </w:r>
      <w:r>
        <w:rPr>
          <w:rFonts w:hint="eastAsia" w:ascii="仿宋_GB2312" w:hAnsi="黑体" w:eastAsia="仿宋_GB2312" w:cs="仿宋_GB2312"/>
          <w:sz w:val="32"/>
          <w:szCs w:val="32"/>
          <w:lang w:val="en-US" w:eastAsia="zh-CN"/>
        </w:rPr>
        <w:t>24</w:t>
      </w:r>
      <w:r>
        <w:rPr>
          <w:rFonts w:hint="eastAsia" w:ascii="仿宋_GB2312" w:hAnsi="黑体" w:eastAsia="仿宋_GB2312"/>
          <w:sz w:val="32"/>
          <w:szCs w:val="32"/>
        </w:rPr>
        <w:t>年预算数为</w:t>
      </w:r>
      <w:r>
        <w:rPr>
          <w:rFonts w:hint="eastAsia" w:ascii="仿宋_GB2312" w:hAnsi="黑体" w:eastAsia="仿宋_GB2312" w:cs="仿宋_GB2312"/>
          <w:sz w:val="32"/>
          <w:szCs w:val="32"/>
        </w:rPr>
        <w:t>161.99</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14.01</w:t>
      </w:r>
      <w:r>
        <w:rPr>
          <w:rFonts w:hint="eastAsia" w:ascii="仿宋_GB2312" w:hAnsi="黑体" w:eastAsia="仿宋_GB2312"/>
          <w:sz w:val="32"/>
          <w:szCs w:val="32"/>
        </w:rPr>
        <w:t>万元，主要是：此项经费由系统根据人员工资表相关项目及缴费率自动计算生成，</w:t>
      </w:r>
      <w:r>
        <w:rPr>
          <w:rFonts w:hint="eastAsia" w:ascii="仿宋_GB2312" w:hAnsi="黑体" w:eastAsia="仿宋_GB2312"/>
          <w:sz w:val="32"/>
          <w:szCs w:val="32"/>
          <w:lang w:eastAsia="zh-CN"/>
        </w:rPr>
        <w:t>同时</w:t>
      </w:r>
      <w:r>
        <w:rPr>
          <w:rFonts w:hint="eastAsia" w:ascii="仿宋_GB2312" w:hAnsi="黑体" w:eastAsia="仿宋_GB2312"/>
          <w:sz w:val="32"/>
          <w:szCs w:val="32"/>
          <w:lang w:val="en-US" w:eastAsia="zh-CN"/>
        </w:rPr>
        <w:t>2024年度的预算人数同比有所减少</w:t>
      </w:r>
      <w:r>
        <w:rPr>
          <w:rFonts w:hint="eastAsia" w:ascii="仿宋_GB2312" w:hAnsi="黑体" w:eastAsia="仿宋_GB2312"/>
          <w:sz w:val="32"/>
          <w:szCs w:val="32"/>
        </w:rPr>
        <w:t>。</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10</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住房保障支出（类）住房改革支出（款）住房公积金（项）202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cs="仿宋_GB2312"/>
          <w:sz w:val="32"/>
          <w:szCs w:val="32"/>
        </w:rPr>
        <w:t>321.28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22.53</w:t>
      </w:r>
      <w:r>
        <w:rPr>
          <w:rFonts w:hint="eastAsia" w:ascii="仿宋_GB2312" w:hAnsi="黑体" w:eastAsia="仿宋_GB2312"/>
          <w:sz w:val="32"/>
          <w:szCs w:val="32"/>
        </w:rPr>
        <w:t>万元，主要是：此项经费由系统根据人员工资表相关项目及缴费率自动计算生成，</w:t>
      </w:r>
      <w:r>
        <w:rPr>
          <w:rFonts w:hint="eastAsia" w:ascii="仿宋_GB2312" w:hAnsi="黑体" w:eastAsia="仿宋_GB2312"/>
          <w:sz w:val="32"/>
          <w:szCs w:val="32"/>
          <w:u w:val="none"/>
          <w:lang w:eastAsia="zh-CN"/>
        </w:rPr>
        <w:t>海南自贸港建设津贴</w:t>
      </w:r>
      <w:r>
        <w:rPr>
          <w:rFonts w:hint="eastAsia" w:ascii="仿宋_GB2312" w:hAnsi="黑体" w:eastAsia="仿宋_GB2312"/>
          <w:sz w:val="32"/>
          <w:szCs w:val="32"/>
          <w:lang w:eastAsia="zh-CN"/>
        </w:rPr>
        <w:t>的发放也导致</w:t>
      </w:r>
      <w:r>
        <w:rPr>
          <w:rFonts w:hint="eastAsia" w:ascii="仿宋_GB2312" w:hAnsi="黑体" w:eastAsia="仿宋_GB2312" w:cs="仿宋_GB2312"/>
          <w:sz w:val="32"/>
          <w:szCs w:val="32"/>
        </w:rPr>
        <w:t>住房公积金缴纳</w:t>
      </w:r>
      <w:r>
        <w:rPr>
          <w:rFonts w:hint="eastAsia" w:ascii="仿宋_GB2312" w:hAnsi="黑体" w:eastAsia="仿宋_GB2312"/>
          <w:sz w:val="32"/>
          <w:szCs w:val="32"/>
        </w:rPr>
        <w:t>基数</w:t>
      </w:r>
      <w:r>
        <w:rPr>
          <w:rFonts w:hint="eastAsia" w:ascii="仿宋_GB2312" w:hAnsi="黑体" w:eastAsia="仿宋_GB2312"/>
          <w:sz w:val="32"/>
          <w:szCs w:val="32"/>
          <w:lang w:eastAsia="zh-CN"/>
        </w:rPr>
        <w:t>相应</w:t>
      </w:r>
      <w:r>
        <w:rPr>
          <w:rFonts w:hint="eastAsia" w:ascii="仿宋_GB2312" w:hAnsi="黑体" w:eastAsia="仿宋_GB2312"/>
          <w:sz w:val="32"/>
          <w:szCs w:val="32"/>
        </w:rPr>
        <w:t>增加。</w:t>
      </w:r>
    </w:p>
    <w:p>
      <w:pPr>
        <w:numPr>
          <w:ilvl w:val="-1"/>
          <w:numId w:val="0"/>
        </w:numPr>
        <w:ind w:left="0" w:firstLine="640" w:firstLineChars="200"/>
        <w:outlineLvl w:val="1"/>
        <w:rPr>
          <w:rFonts w:hint="eastAsia" w:ascii="黑体" w:hAnsi="黑体" w:eastAsia="黑体"/>
          <w:sz w:val="32"/>
          <w:szCs w:val="32"/>
          <w:u w:val="none"/>
        </w:rPr>
      </w:pPr>
      <w:r>
        <w:rPr>
          <w:rFonts w:hint="eastAsia" w:ascii="黑体" w:hAnsi="黑体" w:eastAsia="黑体"/>
          <w:sz w:val="32"/>
          <w:szCs w:val="32"/>
          <w:lang w:eastAsia="zh-CN"/>
        </w:rPr>
        <w:t>三、</w:t>
      </w:r>
      <w:r>
        <w:rPr>
          <w:rFonts w:hint="eastAsia" w:ascii="黑体" w:hAnsi="黑体" w:eastAsia="黑体"/>
          <w:sz w:val="32"/>
          <w:szCs w:val="32"/>
        </w:rPr>
        <w:t>关于海南省第二中级人民法院202</w:t>
      </w:r>
      <w:r>
        <w:rPr>
          <w:rFonts w:hint="eastAsia" w:ascii="黑体" w:hAnsi="黑体" w:eastAsia="黑体"/>
          <w:sz w:val="32"/>
          <w:szCs w:val="32"/>
          <w:lang w:val="en-US" w:eastAsia="zh-CN"/>
        </w:rPr>
        <w:t>4</w:t>
      </w:r>
      <w:r>
        <w:rPr>
          <w:rFonts w:hint="eastAsia" w:ascii="黑体" w:hAnsi="黑体" w:eastAsia="黑体"/>
          <w:sz w:val="32"/>
          <w:szCs w:val="32"/>
        </w:rPr>
        <w:t>年</w:t>
      </w:r>
      <w:r>
        <w:rPr>
          <w:rFonts w:hint="eastAsia" w:ascii="黑体" w:hAnsi="黑体" w:eastAsia="黑体"/>
          <w:sz w:val="32"/>
          <w:szCs w:val="32"/>
          <w:u w:val="none"/>
        </w:rPr>
        <w:t>一般公共预算基本支出情况说明</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海南省第二中级人民法院（部门）</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5,887.11</w:t>
      </w:r>
      <w:r>
        <w:rPr>
          <w:rFonts w:hint="eastAsia" w:ascii="仿宋_GB2312" w:hAnsi="黑体" w:eastAsia="仿宋_GB2312"/>
          <w:sz w:val="32"/>
          <w:szCs w:val="32"/>
        </w:rPr>
        <w:t>万元，其中：</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5,097.82</w:t>
      </w:r>
      <w:r>
        <w:rPr>
          <w:rFonts w:hint="eastAsia" w:ascii="仿宋_GB2312" w:hAnsi="黑体" w:eastAsia="仿宋_GB2312"/>
          <w:sz w:val="32"/>
          <w:szCs w:val="32"/>
        </w:rPr>
        <w:t>万元，主要包括：基本工资、津贴补贴、奖金、绩效工资、机关事业单位基本养老保险缴费、职业年金缴费、职工基本医疗保险缴费、其他社会保障缴费、住房公积金、医疗费、其他工资福利支出、邮电费、其他交通费用、奖励金；</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789.29</w:t>
      </w:r>
      <w:r>
        <w:rPr>
          <w:rFonts w:hint="eastAsia" w:ascii="仿宋_GB2312" w:hAnsi="黑体" w:eastAsia="仿宋_GB2312"/>
          <w:sz w:val="32"/>
          <w:szCs w:val="32"/>
        </w:rPr>
        <w:t>万元，主要包括：其他工资福利支出、办公费、印刷费、手续费、水费、电费、邮电费、物业管理费、差旅费、因公出国(境)费用、维修(护)费、租赁费、会议费、培训费、公务接待费、专用材料费、专用燃料费、劳务费、工会经费、公务用车运行维护费、其他商品和服务支出、生活补助、救济费、其他对个人和家庭的补助、办公设备购置。</w:t>
      </w:r>
    </w:p>
    <w:p>
      <w:pPr>
        <w:ind w:firstLine="640" w:firstLineChars="200"/>
        <w:outlineLvl w:val="1"/>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sz w:val="32"/>
          <w:szCs w:val="32"/>
        </w:rPr>
        <w:t>海南省第二中级人民法院202</w:t>
      </w:r>
      <w:r>
        <w:rPr>
          <w:rFonts w:hint="eastAsia" w:ascii="黑体" w:hAnsi="黑体" w:eastAsia="黑体"/>
          <w:sz w:val="32"/>
          <w:szCs w:val="32"/>
          <w:lang w:val="en-US" w:eastAsia="zh-CN"/>
        </w:rPr>
        <w:t>4</w:t>
      </w:r>
      <w:r>
        <w:rPr>
          <w:rFonts w:ascii="黑体" w:hAnsi="黑体" w:eastAsia="黑体" w:cs="Times New Roman"/>
          <w:sz w:val="32"/>
          <w:shd w:val="clear" w:color="auto" w:fill="FFFFFF"/>
        </w:rPr>
        <w:t>年</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w:t>
      </w:r>
      <w:r>
        <w:rPr>
          <w:rFonts w:hint="eastAsia" w:ascii="仿宋_GB2312" w:hAnsi="仿宋_GB2312" w:eastAsia="仿宋_GB2312" w:cs="仿宋_GB2312"/>
          <w:sz w:val="32"/>
          <w:szCs w:val="32"/>
        </w:rPr>
        <w:t>海南省第二中级人民法院（部门）202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u w:val="none"/>
        </w:rPr>
        <w:t>一般公共预算“三公”经费预算数为</w:t>
      </w:r>
      <w:r>
        <w:rPr>
          <w:rFonts w:hint="eastAsia" w:ascii="仿宋_GB2312" w:hAnsi="仿宋_GB2312" w:eastAsia="仿宋_GB2312" w:cs="仿宋_GB2312"/>
          <w:sz w:val="32"/>
          <w:szCs w:val="32"/>
          <w:u w:val="none"/>
          <w:lang w:val="en-US" w:eastAsia="zh-CN"/>
        </w:rPr>
        <w:t>167</w:t>
      </w:r>
      <w:r>
        <w:rPr>
          <w:rFonts w:hint="eastAsia" w:ascii="仿宋_GB2312" w:hAnsi="仿宋_GB2312" w:eastAsia="仿宋_GB2312" w:cs="仿宋_GB2312"/>
          <w:sz w:val="32"/>
          <w:szCs w:val="32"/>
          <w:u w:val="none"/>
        </w:rPr>
        <w:t>万元，其中：</w:t>
      </w:r>
    </w:p>
    <w:p>
      <w:pPr>
        <w:spacing w:line="560" w:lineRule="exact"/>
        <w:ind w:firstLine="630"/>
        <w:rPr>
          <w:rFonts w:hint="eastAsia" w:ascii="仿宋_GB2312" w:hAnsi="仿宋_GB2312" w:eastAsia="仿宋_GB2312" w:cs="仿宋_GB2312"/>
          <w:sz w:val="32"/>
          <w:shd w:val="clear" w:color="auto" w:fill="FFFFFF"/>
        </w:rPr>
      </w:pPr>
      <w:r>
        <w:rPr>
          <w:rFonts w:hint="eastAsia" w:ascii="仿宋_GB2312" w:hAnsi="仿宋_GB2312" w:eastAsia="仿宋_GB2312" w:cs="仿宋_GB2312"/>
          <w:sz w:val="32"/>
          <w:u w:val="none"/>
          <w:shd w:val="clear" w:color="auto" w:fill="FFFFFF"/>
        </w:rPr>
        <w:t>因公出国（境）经费</w:t>
      </w:r>
      <w:r>
        <w:rPr>
          <w:rFonts w:hint="eastAsia" w:ascii="仿宋_GB2312" w:hAnsi="仿宋_GB2312" w:eastAsia="仿宋_GB2312" w:cs="仿宋_GB2312"/>
          <w:sz w:val="32"/>
          <w:szCs w:val="32"/>
          <w:u w:val="none"/>
          <w:lang w:val="en-US" w:eastAsia="zh-CN"/>
        </w:rPr>
        <w:t>8</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shd w:val="clear" w:color="auto" w:fill="FFFFFF"/>
        </w:rPr>
        <w:t>根据省高院安排的</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hd w:val="clear" w:color="auto" w:fill="FFFFFF"/>
        </w:rPr>
        <w:t>年出国计划，拟安排出国（境）团（组）</w:t>
      </w:r>
      <w:r>
        <w:rPr>
          <w:rFonts w:hint="eastAsia" w:ascii="仿宋_GB2312" w:hAnsi="仿宋_GB2312" w:eastAsia="仿宋_GB2312" w:cs="仿宋_GB2312"/>
          <w:sz w:val="32"/>
          <w:szCs w:val="32"/>
        </w:rPr>
        <w:t>1</w:t>
      </w:r>
      <w:r>
        <w:rPr>
          <w:rFonts w:hint="eastAsia" w:ascii="仿宋_GB2312" w:hAnsi="仿宋_GB2312" w:eastAsia="仿宋_GB2312" w:cs="仿宋_GB2312"/>
          <w:sz w:val="32"/>
          <w:shd w:val="clear" w:color="auto" w:fill="FFFFFF"/>
        </w:rPr>
        <w:t>次，出国（境）</w:t>
      </w:r>
      <w:r>
        <w:rPr>
          <w:rFonts w:hint="eastAsia" w:ascii="仿宋_GB2312" w:hAnsi="仿宋_GB2312" w:eastAsia="仿宋_GB2312" w:cs="仿宋_GB2312"/>
          <w:sz w:val="32"/>
          <w:szCs w:val="32"/>
        </w:rPr>
        <w:t>1</w:t>
      </w:r>
      <w:r>
        <w:rPr>
          <w:rFonts w:hint="eastAsia" w:ascii="仿宋_GB2312" w:hAnsi="仿宋_GB2312" w:eastAsia="仿宋_GB2312" w:cs="仿宋_GB2312"/>
          <w:sz w:val="32"/>
          <w:shd w:val="clear" w:color="auto" w:fill="FFFFFF"/>
        </w:rPr>
        <w:t>人。出国（境）团组主要包括：赴荷兰培训团组：目的地为荷兰，我院参加人数为</w:t>
      </w:r>
      <w:r>
        <w:rPr>
          <w:rFonts w:hint="eastAsia" w:ascii="仿宋_GB2312" w:hAnsi="仿宋_GB2312" w:eastAsia="仿宋_GB2312" w:cs="仿宋_GB2312"/>
          <w:sz w:val="32"/>
          <w:szCs w:val="32"/>
        </w:rPr>
        <w:t>1</w:t>
      </w:r>
      <w:r>
        <w:rPr>
          <w:rFonts w:hint="eastAsia" w:ascii="仿宋_GB2312" w:hAnsi="仿宋_GB2312" w:eastAsia="仿宋_GB2312" w:cs="仿宋_GB2312"/>
          <w:sz w:val="32"/>
          <w:shd w:val="clear" w:color="auto" w:fill="FFFFFF"/>
        </w:rPr>
        <w:t>人，天数为</w:t>
      </w:r>
      <w:r>
        <w:rPr>
          <w:rFonts w:hint="eastAsia" w:ascii="仿宋_GB2312" w:hAnsi="仿宋_GB2312" w:eastAsia="仿宋_GB2312" w:cs="仿宋_GB2312"/>
          <w:sz w:val="32"/>
          <w:szCs w:val="32"/>
        </w:rPr>
        <w:t>14</w:t>
      </w:r>
      <w:r>
        <w:rPr>
          <w:rFonts w:hint="eastAsia" w:ascii="仿宋_GB2312" w:hAnsi="仿宋_GB2312" w:eastAsia="仿宋_GB2312" w:cs="仿宋_GB2312"/>
          <w:sz w:val="32"/>
          <w:shd w:val="clear" w:color="auto" w:fill="FFFFFF"/>
        </w:rPr>
        <w:t>天，主要任务为培训自贸港司法保障问题；公务用车购置及运行费</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48</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hd w:val="clear" w:color="auto" w:fill="FFFFFF"/>
        </w:rPr>
        <w:t>公务用车购置费</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hd w:val="clear" w:color="auto" w:fill="FFFFFF"/>
        </w:rPr>
        <w:t>，公务用车运行费</w:t>
      </w:r>
      <w:r>
        <w:rPr>
          <w:rFonts w:hint="eastAsia" w:ascii="仿宋_GB2312" w:hAnsi="仿宋_GB2312" w:eastAsia="仿宋_GB2312" w:cs="仿宋_GB2312"/>
          <w:sz w:val="32"/>
          <w:szCs w:val="32"/>
        </w:rPr>
        <w:t>130万元）</w:t>
      </w:r>
      <w:r>
        <w:rPr>
          <w:rFonts w:hint="eastAsia" w:ascii="仿宋_GB2312" w:hAnsi="仿宋_GB2312" w:eastAsia="仿宋_GB2312" w:cs="仿宋_GB2312"/>
          <w:sz w:val="32"/>
          <w:shd w:val="clear" w:color="auto" w:fill="FFFFFF"/>
        </w:rPr>
        <w:t>，</w:t>
      </w:r>
      <w:r>
        <w:rPr>
          <w:rFonts w:hint="eastAsia" w:ascii="仿宋_GB2312" w:hAnsi="仿宋_GB2312" w:eastAsia="仿宋_GB2312" w:cs="仿宋_GB2312"/>
          <w:sz w:val="32"/>
          <w:shd w:val="clear" w:color="auto" w:fill="FFFFFF"/>
          <w:lang w:eastAsia="zh-CN"/>
        </w:rPr>
        <w:t>较</w:t>
      </w:r>
      <w:r>
        <w:rPr>
          <w:rFonts w:hint="eastAsia" w:ascii="仿宋_GB2312" w:hAnsi="仿宋_GB2312" w:eastAsia="仿宋_GB2312" w:cs="仿宋_GB2312"/>
          <w:sz w:val="32"/>
          <w:shd w:val="clear" w:color="auto" w:fill="FFFFFF"/>
        </w:rPr>
        <w:t>上年预算</w:t>
      </w:r>
      <w:r>
        <w:rPr>
          <w:rFonts w:hint="eastAsia" w:ascii="仿宋_GB2312" w:hAnsi="仿宋_GB2312" w:eastAsia="仿宋_GB2312" w:cs="仿宋_GB2312"/>
          <w:sz w:val="32"/>
          <w:shd w:val="clear" w:color="auto" w:fill="FFFFFF"/>
          <w:lang w:eastAsia="zh-CN"/>
        </w:rPr>
        <w:t>增加</w:t>
      </w:r>
      <w:r>
        <w:rPr>
          <w:rFonts w:hint="eastAsia" w:ascii="仿宋_GB2312" w:hAnsi="仿宋_GB2312" w:eastAsia="仿宋_GB2312" w:cs="仿宋_GB2312"/>
          <w:sz w:val="32"/>
          <w:shd w:val="clear" w:color="auto" w:fill="FFFFFF"/>
          <w:lang w:val="en-US" w:eastAsia="zh-CN"/>
        </w:rPr>
        <w:t>18万元，主要原因是拟购置</w:t>
      </w:r>
      <w:r>
        <w:rPr>
          <w:rFonts w:hint="eastAsia" w:ascii="仿宋_GB2312" w:hAnsi="仿宋_GB2312" w:eastAsia="仿宋_GB2312" w:cs="仿宋_GB2312"/>
          <w:sz w:val="32"/>
          <w:highlight w:val="none"/>
          <w:shd w:val="clear" w:color="auto" w:fill="FFFFFF"/>
          <w:lang w:val="en-US" w:eastAsia="zh-CN"/>
        </w:rPr>
        <w:t>一</w:t>
      </w:r>
      <w:r>
        <w:rPr>
          <w:rFonts w:hint="eastAsia" w:ascii="仿宋_GB2312" w:hAnsi="仿宋_GB2312" w:eastAsia="仿宋_GB2312" w:cs="仿宋_GB2312"/>
          <w:sz w:val="32"/>
          <w:szCs w:val="32"/>
          <w:highlight w:val="none"/>
        </w:rPr>
        <w:t>辆</w:t>
      </w:r>
      <w:r>
        <w:rPr>
          <w:rFonts w:hint="eastAsia" w:ascii="仿宋_GB2312" w:hAnsi="仿宋_GB2312" w:eastAsia="仿宋_GB2312" w:cs="仿宋_GB2312"/>
          <w:sz w:val="32"/>
          <w:highlight w:val="none"/>
          <w:shd w:val="clear" w:color="auto" w:fill="FFFFFF"/>
          <w:lang w:val="en-US" w:eastAsia="zh-CN"/>
        </w:rPr>
        <w:t>公务</w:t>
      </w:r>
      <w:r>
        <w:rPr>
          <w:rFonts w:hint="eastAsia" w:ascii="仿宋_GB2312" w:hAnsi="仿宋_GB2312" w:eastAsia="仿宋_GB2312" w:cs="仿宋_GB2312"/>
          <w:sz w:val="32"/>
          <w:shd w:val="clear" w:color="auto" w:fill="FFFFFF"/>
          <w:lang w:val="en-US" w:eastAsia="zh-CN"/>
        </w:rPr>
        <w:t>用车</w:t>
      </w:r>
      <w:r>
        <w:rPr>
          <w:rFonts w:hint="eastAsia" w:ascii="仿宋_GB2312" w:hAnsi="仿宋_GB2312" w:eastAsia="仿宋_GB2312" w:cs="仿宋_GB2312"/>
          <w:sz w:val="32"/>
          <w:shd w:val="clear" w:color="auto" w:fill="FFFFFF"/>
        </w:rPr>
        <w:t>。公务车保有量</w:t>
      </w:r>
      <w:r>
        <w:rPr>
          <w:rFonts w:hint="eastAsia" w:ascii="仿宋_GB2312" w:hAnsi="仿宋_GB2312" w:eastAsia="仿宋_GB2312" w:cs="仿宋_GB2312"/>
          <w:sz w:val="32"/>
          <w:szCs w:val="32"/>
        </w:rPr>
        <w:t>22辆，计划购置</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r>
        <w:rPr>
          <w:rFonts w:hint="eastAsia" w:ascii="仿宋_GB2312" w:hAnsi="仿宋_GB2312" w:eastAsia="仿宋_GB2312" w:cs="仿宋_GB2312"/>
          <w:sz w:val="32"/>
          <w:shd w:val="clear" w:color="auto" w:fill="FFFFFF"/>
        </w:rPr>
        <w:t>；</w:t>
      </w:r>
      <w:r>
        <w:rPr>
          <w:rFonts w:hint="eastAsia" w:ascii="仿宋_GB2312" w:hAnsi="仿宋_GB2312" w:eastAsia="仿宋_GB2312" w:cs="仿宋_GB2312"/>
          <w:sz w:val="32"/>
          <w:szCs w:val="32"/>
        </w:rPr>
        <w:t>公务接待费11.00</w:t>
      </w:r>
      <w:r>
        <w:rPr>
          <w:rFonts w:hint="eastAsia" w:ascii="仿宋_GB2312" w:hAnsi="仿宋_GB2312" w:eastAsia="仿宋_GB2312" w:cs="仿宋_GB2312"/>
          <w:sz w:val="32"/>
          <w:shd w:val="clear" w:color="auto" w:fill="FFFFFF"/>
        </w:rPr>
        <w:t>万元，与上年预算持平，计划接待</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批</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人</w:t>
      </w:r>
      <w:r>
        <w:rPr>
          <w:rFonts w:hint="eastAsia" w:ascii="仿宋_GB2312" w:hAnsi="仿宋_GB2312" w:eastAsia="仿宋_GB2312" w:cs="仿宋_GB2312"/>
          <w:sz w:val="32"/>
          <w:shd w:val="clear" w:color="auto" w:fill="FFFFFF"/>
        </w:rPr>
        <w:t>。</w:t>
      </w:r>
    </w:p>
    <w:p>
      <w:pPr>
        <w:spacing w:line="560" w:lineRule="exact"/>
        <w:ind w:firstLine="0"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u w:val="none"/>
          <w:shd w:val="clear" w:color="auto" w:fill="FFFFFF"/>
          <w:lang w:val="en-US" w:eastAsia="zh-CN"/>
        </w:rPr>
        <w:t xml:space="preserve">   </w:t>
      </w:r>
      <w:r>
        <w:rPr>
          <w:rFonts w:hint="eastAsia" w:ascii="仿宋_GB2312" w:hAnsi="仿宋_GB2312" w:eastAsia="仿宋_GB2312" w:cs="仿宋_GB2312"/>
          <w:sz w:val="32"/>
          <w:szCs w:val="32"/>
          <w:u w:val="none"/>
        </w:rPr>
        <w:t>（二）</w:t>
      </w:r>
      <w:r>
        <w:rPr>
          <w:rFonts w:hint="eastAsia" w:ascii="仿宋_GB2312" w:hAnsi="仿宋_GB2312" w:eastAsia="仿宋_GB2312" w:cs="仿宋_GB2312"/>
          <w:sz w:val="32"/>
          <w:szCs w:val="32"/>
        </w:rPr>
        <w:t>海南省第二中级人民法院（部门）202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none"/>
        </w:rPr>
        <w:t>政府性基金预算“三公”经费预算数为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万元，其中：</w:t>
      </w:r>
    </w:p>
    <w:p>
      <w:pPr>
        <w:spacing w:line="560" w:lineRule="exact"/>
        <w:rPr>
          <w:rFonts w:hint="eastAsia" w:ascii="仿宋_GB2312" w:hAnsi="仿宋_GB2312" w:eastAsia="仿宋_GB2312" w:cs="仿宋_GB2312"/>
          <w:sz w:val="32"/>
          <w:u w:val="none"/>
          <w:shd w:val="clear" w:color="auto" w:fill="FFFFFF"/>
        </w:rPr>
      </w:pPr>
      <w:r>
        <w:rPr>
          <w:rFonts w:hint="eastAsia" w:ascii="仿宋_GB2312" w:hAnsi="仿宋_GB2312" w:eastAsia="仿宋_GB2312" w:cs="仿宋_GB2312"/>
          <w:sz w:val="32"/>
          <w:u w:val="none"/>
          <w:shd w:val="clear" w:color="auto" w:fill="FFFFFF"/>
        </w:rPr>
        <w:t xml:space="preserve">    因公出国（境）经费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，与上年预算持平。公务用车购置及运行费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万元（其中，</w:t>
      </w:r>
      <w:r>
        <w:rPr>
          <w:rFonts w:hint="eastAsia" w:ascii="仿宋_GB2312" w:hAnsi="仿宋_GB2312" w:eastAsia="仿宋_GB2312" w:cs="仿宋_GB2312"/>
          <w:sz w:val="32"/>
          <w:u w:val="none"/>
          <w:shd w:val="clear" w:color="auto" w:fill="FFFFFF"/>
        </w:rPr>
        <w:t>公务用车购置费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，公务用车运行费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szCs w:val="32"/>
          <w:u w:val="none"/>
        </w:rPr>
        <w:t>公务接待费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万元，与上年预算持</w:t>
      </w:r>
      <w:r>
        <w:rPr>
          <w:rFonts w:hint="eastAsia" w:ascii="仿宋_GB2312" w:hAnsi="仿宋_GB2312" w:eastAsia="仿宋_GB2312" w:cs="仿宋_GB2312"/>
          <w:sz w:val="32"/>
          <w:u w:val="none"/>
          <w:shd w:val="clear" w:color="auto" w:fill="FFFFFF"/>
          <w:lang w:eastAsia="zh-CN"/>
        </w:rPr>
        <w:t>平</w:t>
      </w:r>
      <w:r>
        <w:rPr>
          <w:rFonts w:hint="eastAsia" w:ascii="仿宋_GB2312" w:hAnsi="仿宋_GB2312" w:eastAsia="仿宋_GB2312" w:cs="仿宋_GB2312"/>
          <w:sz w:val="32"/>
          <w:u w:val="none"/>
          <w:shd w:val="clear" w:color="auto" w:fill="FFFFFF"/>
        </w:rPr>
        <w:t>。</w:t>
      </w:r>
    </w:p>
    <w:p>
      <w:pPr>
        <w:ind w:firstLine="640" w:firstLineChars="200"/>
        <w:outlineLvl w:val="1"/>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w:t>
      </w:r>
      <w:r>
        <w:rPr>
          <w:rFonts w:hint="eastAsia" w:ascii="黑体" w:hAnsi="黑体" w:eastAsia="黑体" w:cs="Times New Roman"/>
          <w:sz w:val="32"/>
          <w:shd w:val="clear" w:color="auto" w:fill="FFFFFF"/>
        </w:rPr>
        <w:t>关于</w:t>
      </w:r>
      <w:r>
        <w:rPr>
          <w:rFonts w:hint="eastAsia" w:ascii="黑体" w:hAnsi="黑体" w:eastAsia="黑体"/>
          <w:sz w:val="32"/>
          <w:szCs w:val="32"/>
        </w:rPr>
        <w:t>海南省第二中级人民法院202</w:t>
      </w:r>
      <w:r>
        <w:rPr>
          <w:rFonts w:hint="eastAsia" w:ascii="黑体" w:hAnsi="黑体" w:eastAsia="黑体"/>
          <w:sz w:val="32"/>
          <w:szCs w:val="32"/>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outlineLvl w:val="2"/>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ind w:firstLine="64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我院无政府性基金预算拨款。</w:t>
      </w:r>
    </w:p>
    <w:p>
      <w:pPr>
        <w:ind w:firstLine="640"/>
        <w:jc w:val="left"/>
        <w:outlineLvl w:val="2"/>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ind w:firstLine="64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我院无政府性基金预算拨款。</w:t>
      </w:r>
    </w:p>
    <w:p>
      <w:pPr>
        <w:ind w:firstLine="640"/>
        <w:jc w:val="left"/>
        <w:outlineLvl w:val="2"/>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ind w:firstLine="640" w:firstLineChars="200"/>
        <w:rPr>
          <w:rFonts w:hint="eastAsia" w:ascii="仿宋_GB2312" w:hAnsi="仿宋_GB2312" w:eastAsia="仿宋_GB2312" w:cs="仿宋_GB2312"/>
          <w:sz w:val="32"/>
          <w:szCs w:val="32"/>
          <w:u w:val="none"/>
          <w:shd w:val="clear" w:color="auto" w:fill="FFFFFF"/>
        </w:rPr>
      </w:pPr>
      <w:r>
        <w:rPr>
          <w:rFonts w:hint="eastAsia" w:ascii="仿宋_GB2312" w:hAnsi="仿宋_GB2312" w:eastAsia="仿宋_GB2312" w:cs="仿宋_GB2312"/>
          <w:sz w:val="32"/>
          <w:szCs w:val="32"/>
        </w:rPr>
        <w:t>我院无政府性基金预算拨款。</w:t>
      </w:r>
    </w:p>
    <w:p>
      <w:pPr>
        <w:ind w:firstLine="640" w:firstLineChars="200"/>
        <w:outlineLvl w:val="1"/>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w:t>
      </w:r>
      <w:r>
        <w:rPr>
          <w:rFonts w:hint="eastAsia" w:ascii="黑体" w:hAnsi="黑体" w:eastAsia="黑体" w:cs="Times New Roman"/>
          <w:sz w:val="32"/>
          <w:shd w:val="clear" w:color="auto" w:fill="FFFFFF"/>
        </w:rPr>
        <w:t>关于</w:t>
      </w:r>
      <w:r>
        <w:rPr>
          <w:rFonts w:hint="eastAsia" w:ascii="黑体" w:hAnsi="黑体" w:eastAsia="黑体"/>
          <w:sz w:val="32"/>
          <w:szCs w:val="32"/>
        </w:rPr>
        <w:t>海南省第二中级人民法院202</w:t>
      </w:r>
      <w:r>
        <w:rPr>
          <w:rFonts w:hint="eastAsia" w:ascii="黑体" w:hAnsi="黑体" w:eastAsia="黑体"/>
          <w:sz w:val="32"/>
          <w:szCs w:val="32"/>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u w:val="none"/>
          <w:shd w:val="clear" w:color="auto" w:fill="FFFFFF"/>
        </w:rPr>
        <w:t>收支预算情况的总体说明</w:t>
      </w:r>
    </w:p>
    <w:p>
      <w:pPr>
        <w:spacing w:line="56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按照综合预算原则，海南省第二中级人民法院（部门）所有收入和支出均纳入部门预算管理。收入包括：一般公共预算收入、上年结转收入</w:t>
      </w:r>
      <w:r>
        <w:rPr>
          <w:rFonts w:hint="eastAsia" w:ascii="仿宋_GB2312" w:hAnsi="黑体" w:eastAsia="仿宋_GB2312"/>
          <w:sz w:val="32"/>
          <w:szCs w:val="32"/>
        </w:rPr>
        <w:t>；支出包括：</w:t>
      </w:r>
      <w:r>
        <w:rPr>
          <w:rFonts w:hint="eastAsia" w:ascii="仿宋_GB2312" w:hAnsi="黑体" w:eastAsia="仿宋_GB2312" w:cs="仿宋_GB2312"/>
          <w:sz w:val="32"/>
          <w:szCs w:val="32"/>
        </w:rPr>
        <w:t>公共安全支出、社会保障和就业支出、</w:t>
      </w:r>
      <w:r>
        <w:rPr>
          <w:rFonts w:hint="eastAsia" w:ascii="仿宋_GB2312" w:hAnsi="黑体" w:eastAsia="仿宋_GB2312"/>
          <w:sz w:val="32"/>
          <w:szCs w:val="32"/>
        </w:rPr>
        <w:t>卫生健康支出、住房保障支出。</w:t>
      </w:r>
      <w:r>
        <w:rPr>
          <w:rFonts w:hint="eastAsia" w:ascii="仿宋_GB2312" w:hAnsi="黑体" w:eastAsia="仿宋_GB2312" w:cs="仿宋_GB2312"/>
          <w:sz w:val="32"/>
          <w:szCs w:val="32"/>
        </w:rPr>
        <w:t>海南省第二中级人民法院（部门）202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8,040.12</w:t>
      </w:r>
      <w:r>
        <w:rPr>
          <w:rFonts w:hint="eastAsia" w:ascii="仿宋_GB2312" w:hAnsi="黑体" w:eastAsia="仿宋_GB2312"/>
          <w:sz w:val="32"/>
          <w:szCs w:val="32"/>
        </w:rPr>
        <w:t>万元。</w:t>
      </w:r>
    </w:p>
    <w:p>
      <w:pPr>
        <w:ind w:firstLine="640" w:firstLineChars="200"/>
        <w:outlineLvl w:val="1"/>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w:t>
      </w:r>
      <w:r>
        <w:rPr>
          <w:rFonts w:hint="eastAsia" w:ascii="黑体" w:hAnsi="黑体" w:eastAsia="黑体" w:cs="Times New Roman"/>
          <w:sz w:val="32"/>
          <w:shd w:val="clear" w:color="auto" w:fill="FFFFFF"/>
        </w:rPr>
        <w:t>关于</w:t>
      </w:r>
      <w:r>
        <w:rPr>
          <w:rFonts w:hint="eastAsia" w:ascii="黑体" w:hAnsi="黑体" w:eastAsia="黑体"/>
          <w:sz w:val="32"/>
          <w:szCs w:val="32"/>
        </w:rPr>
        <w:t>海南省第二中级人民法院202</w:t>
      </w:r>
      <w:r>
        <w:rPr>
          <w:rFonts w:hint="eastAsia" w:ascii="黑体" w:hAnsi="黑体" w:eastAsia="黑体"/>
          <w:sz w:val="32"/>
          <w:szCs w:val="32"/>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海南省第二中级人民法院（部门）202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sz w:val="32"/>
          <w:szCs w:val="32"/>
          <w:u w:val="none"/>
        </w:rPr>
        <w:t>收入预算</w:t>
      </w:r>
      <w:r>
        <w:rPr>
          <w:rFonts w:hint="eastAsia" w:ascii="仿宋_GB2312" w:hAnsi="黑体" w:eastAsia="仿宋_GB2312" w:cs="仿宋_GB2312"/>
          <w:sz w:val="32"/>
          <w:szCs w:val="32"/>
        </w:rPr>
        <w:t>8,040.12</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251.22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3.12</w:t>
      </w:r>
      <w:r>
        <w:rPr>
          <w:rFonts w:hint="eastAsia" w:ascii="仿宋_GB2312" w:hAnsi="黑体" w:eastAsia="仿宋_GB2312"/>
          <w:sz w:val="32"/>
          <w:szCs w:val="32"/>
          <w:u w:val="none"/>
        </w:rPr>
        <w:t>%；经费拨款收入</w:t>
      </w:r>
      <w:r>
        <w:rPr>
          <w:rFonts w:hint="eastAsia" w:ascii="仿宋_GB2312" w:hAnsi="黑体" w:eastAsia="仿宋_GB2312" w:cs="仿宋_GB2312"/>
          <w:sz w:val="32"/>
          <w:szCs w:val="32"/>
          <w:u w:val="none"/>
        </w:rPr>
        <w:t>7788.9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96.88</w:t>
      </w:r>
      <w:r>
        <w:rPr>
          <w:rFonts w:hint="eastAsia" w:ascii="仿宋_GB2312" w:hAnsi="黑体" w:eastAsia="仿宋_GB2312"/>
          <w:sz w:val="32"/>
          <w:szCs w:val="32"/>
          <w:u w:val="none"/>
        </w:rPr>
        <w:t>%；政府性基金收入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%；专项收入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549.02</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eastAsia="zh-CN"/>
        </w:rPr>
        <w:t>原因一是增加两个一次性项目，二是发放海南自贸港建设津贴</w:t>
      </w:r>
      <w:r>
        <w:rPr>
          <w:rFonts w:hint="eastAsia" w:ascii="仿宋_GB2312" w:hAnsi="黑体" w:eastAsia="仿宋_GB2312"/>
          <w:sz w:val="32"/>
          <w:szCs w:val="32"/>
          <w:u w:val="none"/>
        </w:rPr>
        <w:t>。</w:t>
      </w:r>
    </w:p>
    <w:p>
      <w:pPr>
        <w:ind w:firstLine="640" w:firstLineChars="200"/>
        <w:outlineLvl w:val="1"/>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w:t>
      </w:r>
      <w:r>
        <w:rPr>
          <w:rFonts w:hint="eastAsia" w:ascii="黑体" w:hAnsi="黑体" w:eastAsia="黑体" w:cs="Times New Roman"/>
          <w:sz w:val="32"/>
          <w:shd w:val="clear" w:color="auto" w:fill="FFFFFF"/>
        </w:rPr>
        <w:t>关于</w:t>
      </w:r>
      <w:r>
        <w:rPr>
          <w:rFonts w:hint="eastAsia" w:ascii="黑体" w:hAnsi="黑体" w:eastAsia="黑体"/>
          <w:sz w:val="32"/>
          <w:szCs w:val="32"/>
        </w:rPr>
        <w:t>海南省第二中级人民法院202</w:t>
      </w:r>
      <w:r>
        <w:rPr>
          <w:rFonts w:hint="eastAsia" w:ascii="黑体" w:hAnsi="黑体" w:eastAsia="黑体"/>
          <w:sz w:val="32"/>
          <w:szCs w:val="32"/>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u w:val="none"/>
          <w:shd w:val="clear" w:color="auto" w:fill="FFFFFF"/>
        </w:rPr>
        <w:t>支出预算情况说明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rPr>
        <w:t>海南省第二中级人民法院（部门）202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年支出预算</w:t>
      </w:r>
      <w:r>
        <w:rPr>
          <w:rFonts w:hint="eastAsia" w:ascii="仿宋_GB2312" w:hAnsi="黑体" w:eastAsia="仿宋_GB2312" w:cs="仿宋_GB2312"/>
          <w:sz w:val="32"/>
          <w:szCs w:val="32"/>
        </w:rPr>
        <w:t>8,040.12</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5887.11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73.22</w:t>
      </w:r>
      <w:r>
        <w:rPr>
          <w:rFonts w:hint="eastAsia" w:ascii="仿宋_GB2312" w:hAnsi="黑体" w:eastAsia="仿宋_GB2312"/>
          <w:sz w:val="32"/>
          <w:szCs w:val="32"/>
        </w:rPr>
        <w:t>%；项目支出</w:t>
      </w:r>
      <w:r>
        <w:rPr>
          <w:rFonts w:hint="eastAsia" w:ascii="仿宋_GB2312" w:hAnsi="黑体" w:eastAsia="仿宋_GB2312" w:cs="仿宋_GB2312"/>
          <w:sz w:val="32"/>
          <w:szCs w:val="32"/>
        </w:rPr>
        <w:t>2153.01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26.78</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549.02</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eastAsia="zh-CN"/>
        </w:rPr>
        <w:t>原因一是增加两个一次性项目，二是发放海南自贸港建设津贴</w:t>
      </w:r>
      <w:r>
        <w:rPr>
          <w:rFonts w:hint="eastAsia" w:ascii="仿宋_GB2312" w:hAnsi="黑体" w:eastAsia="仿宋_GB2312"/>
          <w:sz w:val="32"/>
          <w:szCs w:val="32"/>
          <w:u w:val="none"/>
        </w:rPr>
        <w:t>。</w:t>
      </w:r>
    </w:p>
    <w:p>
      <w:pPr>
        <w:ind w:firstLine="640" w:firstLineChars="200"/>
        <w:outlineLvl w:val="1"/>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outlineLvl w:val="2"/>
        <w:rPr>
          <w:rFonts w:ascii="楷体" w:hAnsi="楷体" w:eastAsia="楷体"/>
          <w:sz w:val="32"/>
          <w:szCs w:val="32"/>
          <w:u w:val="none"/>
        </w:rPr>
      </w:pPr>
      <w:r>
        <w:rPr>
          <w:rFonts w:hint="eastAsia" w:ascii="楷体" w:hAnsi="楷体" w:eastAsia="楷体"/>
          <w:sz w:val="32"/>
          <w:szCs w:val="32"/>
          <w:u w:val="none"/>
        </w:rPr>
        <w:t>（一）机关运行经费</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cs="仿宋_GB2312"/>
          <w:sz w:val="32"/>
          <w:szCs w:val="32"/>
        </w:rPr>
        <w:t>海南省第二中级人民法院（部门本级）机关运行经费预算789.29</w:t>
      </w:r>
      <w:r>
        <w:rPr>
          <w:rFonts w:hint="eastAsia" w:ascii="仿宋_GB2312" w:hAnsi="黑体" w:eastAsia="仿宋_GB2312"/>
          <w:sz w:val="32"/>
          <w:szCs w:val="32"/>
        </w:rPr>
        <w:t>万元。</w:t>
      </w:r>
    </w:p>
    <w:p>
      <w:pPr>
        <w:ind w:firstLine="640" w:firstLineChars="200"/>
        <w:outlineLvl w:val="2"/>
        <w:rPr>
          <w:rFonts w:ascii="楷体" w:hAnsi="楷体" w:eastAsia="楷体"/>
          <w:sz w:val="32"/>
          <w:szCs w:val="32"/>
          <w:u w:val="none"/>
        </w:rPr>
      </w:pPr>
      <w:r>
        <w:rPr>
          <w:rFonts w:hint="eastAsia" w:ascii="楷体" w:hAnsi="楷体" w:eastAsia="楷体"/>
          <w:sz w:val="32"/>
          <w:szCs w:val="32"/>
          <w:u w:val="none"/>
        </w:rPr>
        <w:t>（二）政府采购情况</w:t>
      </w:r>
    </w:p>
    <w:p>
      <w:pPr>
        <w:spacing w:line="560" w:lineRule="exact"/>
        <w:ind w:firstLine="641"/>
        <w:rPr>
          <w:rFonts w:hint="eastAsia" w:ascii="仿宋_GB2312" w:hAnsi="黑体" w:eastAsia="仿宋_GB2312" w:cs="仿宋_GB2312"/>
          <w:sz w:val="32"/>
          <w:szCs w:val="32"/>
          <w:u w:val="none"/>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cs="仿宋_GB2312"/>
          <w:sz w:val="32"/>
          <w:szCs w:val="32"/>
        </w:rPr>
        <w:t>海南省第二中级人民法院（部门）政府采购预算总额</w:t>
      </w:r>
      <w:r>
        <w:rPr>
          <w:rFonts w:hint="default" w:ascii="仿宋_GB2312" w:hAnsi="黑体" w:eastAsia="仿宋_GB2312" w:cs="仿宋_GB2312"/>
          <w:sz w:val="32"/>
          <w:szCs w:val="32"/>
          <w:u w:val="none"/>
          <w:lang w:val="en-US"/>
        </w:rPr>
        <w:t>493.28</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113.28</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0.00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151.28</w:t>
      </w:r>
      <w:r>
        <w:rPr>
          <w:rFonts w:hint="eastAsia" w:ascii="仿宋_GB2312" w:hAnsi="黑体" w:eastAsia="仿宋_GB2312"/>
          <w:sz w:val="32"/>
          <w:szCs w:val="32"/>
        </w:rPr>
        <w:t>万元。</w:t>
      </w:r>
    </w:p>
    <w:p>
      <w:pPr>
        <w:ind w:firstLine="640" w:firstLineChars="200"/>
        <w:outlineLvl w:val="2"/>
        <w:rPr>
          <w:rFonts w:ascii="楷体" w:hAnsi="楷体" w:eastAsia="楷体"/>
          <w:sz w:val="32"/>
          <w:szCs w:val="32"/>
          <w:u w:val="none"/>
        </w:rPr>
      </w:pPr>
      <w:r>
        <w:rPr>
          <w:rFonts w:hint="eastAsia" w:ascii="楷体" w:hAnsi="楷体" w:eastAsia="楷体"/>
          <w:sz w:val="32"/>
          <w:szCs w:val="32"/>
          <w:u w:val="none"/>
        </w:rPr>
        <w:t>（三）国有资产占有使用情况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rPr>
        <w:t>截至</w:t>
      </w:r>
      <w:r>
        <w:rPr>
          <w:rFonts w:hint="eastAsia" w:ascii="仿宋_GB2312" w:hAnsi="仿宋_GB2312" w:eastAsia="仿宋_GB2312" w:cs="仿宋_GB2312"/>
          <w:sz w:val="32"/>
          <w:szCs w:val="32"/>
          <w:u w:val="none"/>
          <w:lang w:val="en-US" w:eastAsia="zh-CN"/>
        </w:rPr>
        <w:t>2023</w:t>
      </w:r>
      <w:r>
        <w:rPr>
          <w:rFonts w:hint="eastAsia" w:ascii="仿宋_GB2312" w:hAnsi="仿宋_GB2312" w:eastAsia="仿宋_GB2312" w:cs="仿宋_GB2312"/>
          <w:sz w:val="32"/>
          <w:szCs w:val="32"/>
          <w:u w:val="none"/>
        </w:rPr>
        <w:t>年12月31日，</w:t>
      </w:r>
      <w:r>
        <w:rPr>
          <w:rFonts w:hint="eastAsia" w:ascii="仿宋_GB2312" w:hAnsi="仿宋_GB2312" w:eastAsia="仿宋_GB2312" w:cs="仿宋_GB2312"/>
          <w:sz w:val="32"/>
          <w:szCs w:val="32"/>
        </w:rPr>
        <w:t>海南省第二中级人民法院（部门）本级（无下属）共有车辆22辆，其中，</w:t>
      </w:r>
      <w:r>
        <w:rPr>
          <w:rFonts w:hint="eastAsia" w:ascii="仿宋_GB2312" w:hAnsi="仿宋_GB2312" w:eastAsia="仿宋_GB2312" w:cs="仿宋_GB2312"/>
          <w:sz w:val="32"/>
          <w:szCs w:val="32"/>
          <w:lang w:eastAsia="zh-CN"/>
        </w:rPr>
        <w:t>实物保障用车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机要通信用车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辆、应急保障用车</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辆、一般执法执勤用车14辆、特种专业技术用车</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辆。单位价值100万元以上设备</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套。</w:t>
      </w:r>
    </w:p>
    <w:p>
      <w:pPr>
        <w:widowControl/>
        <w:ind w:firstLine="0" w:firstLineChars="0"/>
        <w:jc w:val="left"/>
        <w:outlineLvl w:val="2"/>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cs="仿宋_GB2312"/>
          <w:sz w:val="32"/>
          <w:szCs w:val="32"/>
        </w:rPr>
        <w:t>海南省第二中级人民法院（部门）19个项目实行绩效目标管理，涉及一般公共预算</w:t>
      </w:r>
      <w:r>
        <w:rPr>
          <w:rFonts w:hint="eastAsia" w:ascii="仿宋_GB2312" w:hAnsi="黑体" w:eastAsia="仿宋_GB2312" w:cs="仿宋_GB2312"/>
          <w:sz w:val="32"/>
          <w:szCs w:val="32"/>
          <w:lang w:val="en-US" w:eastAsia="zh-CN"/>
        </w:rPr>
        <w:t>7788.9</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spacing w:line="560" w:lineRule="exact"/>
        <w:ind w:firstLine="640" w:firstLineChars="200"/>
        <w:rPr>
          <w:rFonts w:ascii="仿宋_GB2312" w:hAnsi="黑体" w:eastAsia="仿宋_GB2312" w:cs="仿宋_GB2312"/>
          <w:sz w:val="32"/>
          <w:szCs w:val="32"/>
        </w:rPr>
      </w:pPr>
      <w:r>
        <w:rPr>
          <w:rFonts w:hint="eastAsia" w:ascii="仿宋_GB2312" w:hAnsi="黑体" w:eastAsia="仿宋_GB2312"/>
          <w:sz w:val="32"/>
          <w:szCs w:val="32"/>
        </w:rPr>
        <w:t>1.</w:t>
      </w:r>
      <w:r>
        <w:rPr>
          <w:rFonts w:hint="eastAsia" w:ascii="仿宋_GB2312" w:hAnsi="黑体" w:eastAsia="仿宋_GB2312" w:cs="仿宋_GB2312"/>
          <w:sz w:val="32"/>
          <w:szCs w:val="32"/>
        </w:rPr>
        <w:t>执法办案</w:t>
      </w:r>
      <w:r>
        <w:rPr>
          <w:rFonts w:hint="eastAsia" w:ascii="仿宋_GB2312" w:hAnsi="黑体" w:eastAsia="仿宋_GB2312" w:cs="仿宋_GB2312"/>
          <w:sz w:val="32"/>
          <w:szCs w:val="32"/>
          <w:lang w:eastAsia="zh-CN"/>
        </w:rPr>
        <w:t>业务</w:t>
      </w:r>
      <w:r>
        <w:rPr>
          <w:rFonts w:hint="eastAsia" w:ascii="仿宋_GB2312" w:hAnsi="黑体" w:eastAsia="仿宋_GB2312" w:cs="仿宋_GB2312"/>
          <w:sz w:val="32"/>
          <w:szCs w:val="32"/>
        </w:rPr>
        <w:t>项目，预算安排914.27万元，主要用于保障与审判相关的业务支出，绩效目标是及时足额为执法办案提供资金保障，按时按质审理案件、提升结案率、调解率。</w:t>
      </w:r>
    </w:p>
    <w:p>
      <w:pPr>
        <w:spacing w:line="56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2.</w:t>
      </w:r>
      <w:r>
        <w:rPr>
          <w:rFonts w:hint="eastAsia"/>
          <w:sz w:val="32"/>
          <w:szCs w:val="32"/>
        </w:rPr>
        <w:t xml:space="preserve"> </w:t>
      </w:r>
      <w:r>
        <w:rPr>
          <w:rFonts w:hint="eastAsia" w:ascii="仿宋_GB2312" w:hAnsi="黑体" w:eastAsia="仿宋_GB2312" w:cs="仿宋_GB2312"/>
          <w:sz w:val="32"/>
          <w:szCs w:val="32"/>
        </w:rPr>
        <w:t>两房（庭）及装备更新维护项目，预算安排232万元，主要用于保障法庭维护及升级改造、业务设备购置等业务类的支出，绩效目标是及时为两庭及装备更新维护提供资金保障，确保审判、执行工作顺利进行。</w:t>
      </w:r>
    </w:p>
    <w:p>
      <w:pPr>
        <w:spacing w:line="56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3.</w:t>
      </w:r>
      <w:r>
        <w:rPr>
          <w:rFonts w:hint="eastAsia"/>
          <w:sz w:val="32"/>
          <w:szCs w:val="32"/>
        </w:rPr>
        <w:t xml:space="preserve"> </w:t>
      </w:r>
      <w:r>
        <w:rPr>
          <w:rFonts w:hint="eastAsia" w:ascii="仿宋_GB2312" w:hAnsi="黑体" w:eastAsia="仿宋_GB2312" w:cs="仿宋_GB2312"/>
          <w:sz w:val="32"/>
          <w:szCs w:val="32"/>
        </w:rPr>
        <w:t>海南省法院信息化基础设施建设项目（2022）项目，预算安排</w:t>
      </w:r>
      <w:r>
        <w:rPr>
          <w:rFonts w:hint="eastAsia" w:ascii="仿宋_GB2312" w:hAnsi="黑体" w:eastAsia="仿宋_GB2312" w:cs="仿宋_GB2312"/>
          <w:sz w:val="32"/>
          <w:szCs w:val="32"/>
          <w:lang w:val="en-US" w:eastAsia="zh-CN"/>
        </w:rPr>
        <w:t>100</w:t>
      </w:r>
      <w:r>
        <w:rPr>
          <w:rFonts w:hint="eastAsia" w:ascii="仿宋_GB2312" w:hAnsi="黑体" w:eastAsia="仿宋_GB2312" w:cs="仿宋_GB2312"/>
          <w:sz w:val="32"/>
          <w:szCs w:val="32"/>
        </w:rPr>
        <w:t>万元，主要用于保障与“海南省法院信息化基础设施建设项目（2022）”相关的支出，绩效目标是为审判、执行等工作提供科学的信息化技术支持。</w:t>
      </w:r>
    </w:p>
    <w:p>
      <w:pPr>
        <w:spacing w:line="56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w:t>
      </w:r>
      <w:r>
        <w:rPr>
          <w:rFonts w:hint="eastAsia"/>
          <w:sz w:val="32"/>
          <w:szCs w:val="32"/>
        </w:rPr>
        <w:t xml:space="preserve"> </w:t>
      </w:r>
      <w:r>
        <w:rPr>
          <w:rFonts w:hint="eastAsia" w:ascii="仿宋_GB2312" w:hAnsi="黑体" w:eastAsia="仿宋_GB2312" w:cs="仿宋_GB2312"/>
          <w:sz w:val="32"/>
          <w:szCs w:val="32"/>
        </w:rPr>
        <w:t>综合运行事务</w:t>
      </w:r>
      <w:r>
        <w:rPr>
          <w:rFonts w:hint="eastAsia" w:ascii="仿宋_GB2312" w:hAnsi="黑体" w:eastAsia="仿宋_GB2312" w:cs="仿宋_GB2312"/>
          <w:sz w:val="32"/>
          <w:szCs w:val="32"/>
          <w:lang w:eastAsia="zh-CN"/>
        </w:rPr>
        <w:t>项目，</w:t>
      </w:r>
      <w:r>
        <w:rPr>
          <w:rFonts w:hint="eastAsia" w:ascii="仿宋_GB2312" w:hAnsi="黑体" w:eastAsia="仿宋_GB2312" w:cs="仿宋_GB2312"/>
          <w:sz w:val="32"/>
          <w:szCs w:val="32"/>
        </w:rPr>
        <w:t>预算安排</w:t>
      </w:r>
      <w:r>
        <w:rPr>
          <w:rFonts w:hint="eastAsia" w:ascii="仿宋_GB2312" w:hAnsi="黑体" w:eastAsia="仿宋_GB2312" w:cs="仿宋_GB2312"/>
          <w:sz w:val="32"/>
          <w:szCs w:val="32"/>
          <w:lang w:val="en-US" w:eastAsia="zh-CN"/>
        </w:rPr>
        <w:t>151.28</w:t>
      </w:r>
      <w:r>
        <w:rPr>
          <w:rFonts w:hint="eastAsia" w:ascii="仿宋_GB2312" w:hAnsi="黑体" w:eastAsia="仿宋_GB2312" w:cs="仿宋_GB2312"/>
          <w:sz w:val="32"/>
          <w:szCs w:val="32"/>
        </w:rPr>
        <w:t>万元，主要用于</w:t>
      </w:r>
      <w:r>
        <w:rPr>
          <w:rFonts w:hint="eastAsia" w:ascii="仿宋_GB2312" w:hAnsi="黑体" w:eastAsia="仿宋_GB2312" w:cs="仿宋_GB2312"/>
          <w:sz w:val="32"/>
          <w:szCs w:val="32"/>
          <w:lang w:eastAsia="zh-CN"/>
        </w:rPr>
        <w:t>物业管理等行政综合事务</w:t>
      </w:r>
      <w:r>
        <w:rPr>
          <w:rFonts w:hint="eastAsia" w:ascii="仿宋_GB2312" w:hAnsi="黑体" w:eastAsia="仿宋_GB2312" w:cs="仿宋_GB2312"/>
          <w:sz w:val="32"/>
          <w:szCs w:val="32"/>
        </w:rPr>
        <w:t>的支出，绩效目标是及时足额为审判、执行工作提供后勤资金保障。</w:t>
      </w:r>
    </w:p>
    <w:p>
      <w:pPr>
        <w:spacing w:line="560" w:lineRule="exact"/>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w:t>
      </w:r>
      <w:r>
        <w:rPr>
          <w:rFonts w:hint="eastAsia"/>
          <w:sz w:val="32"/>
          <w:szCs w:val="32"/>
        </w:rPr>
        <w:t xml:space="preserve"> </w:t>
      </w:r>
      <w:r>
        <w:rPr>
          <w:rFonts w:hint="eastAsia" w:ascii="仿宋_GB2312" w:hAnsi="黑体" w:eastAsia="仿宋_GB2312" w:cs="仿宋_GB2312"/>
          <w:sz w:val="32"/>
          <w:szCs w:val="32"/>
        </w:rPr>
        <w:t>海南省第二中级人民法院审判综合楼人防易地建设费项目</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预算安排</w:t>
      </w:r>
      <w:r>
        <w:rPr>
          <w:rFonts w:hint="eastAsia" w:ascii="仿宋_GB2312" w:hAnsi="黑体" w:eastAsia="仿宋_GB2312" w:cs="仿宋_GB2312"/>
          <w:sz w:val="32"/>
          <w:szCs w:val="32"/>
          <w:lang w:val="en-US" w:eastAsia="zh-CN"/>
        </w:rPr>
        <w:t>244.93</w:t>
      </w:r>
      <w:r>
        <w:rPr>
          <w:rFonts w:hint="eastAsia" w:ascii="仿宋_GB2312" w:hAnsi="黑体" w:eastAsia="仿宋_GB2312" w:cs="仿宋_GB2312"/>
          <w:sz w:val="32"/>
          <w:szCs w:val="32"/>
        </w:rPr>
        <w:t>万元，主要用于</w:t>
      </w:r>
      <w:r>
        <w:rPr>
          <w:rFonts w:hint="eastAsia" w:ascii="仿宋_GB2312" w:hAnsi="黑体" w:eastAsia="仿宋_GB2312" w:cs="仿宋_GB2312"/>
          <w:sz w:val="32"/>
          <w:szCs w:val="32"/>
          <w:lang w:eastAsia="zh-CN"/>
        </w:rPr>
        <w:t>偿还审判综合楼项目欠缴儋州市人民政府的人防易地建设费。</w:t>
      </w:r>
      <w:r>
        <w:rPr>
          <w:rFonts w:hint="eastAsia" w:ascii="仿宋_GB2312" w:hAnsi="黑体" w:eastAsia="仿宋_GB2312" w:cs="仿宋_GB2312"/>
          <w:sz w:val="32"/>
          <w:szCs w:val="32"/>
        </w:rPr>
        <w:t>绩效目标是严格执行相关政策，保障及时足额</w:t>
      </w:r>
      <w:r>
        <w:rPr>
          <w:rFonts w:hint="eastAsia" w:ascii="仿宋_GB2312" w:hAnsi="黑体" w:eastAsia="仿宋_GB2312" w:cs="仿宋_GB2312"/>
          <w:sz w:val="32"/>
          <w:szCs w:val="32"/>
          <w:lang w:eastAsia="zh-CN"/>
        </w:rPr>
        <w:t>支付。</w:t>
      </w:r>
    </w:p>
    <w:p>
      <w:pPr>
        <w:spacing w:line="560" w:lineRule="exact"/>
        <w:ind w:firstLine="640" w:firstLineChars="200"/>
        <w:jc w:val="left"/>
        <w:rPr>
          <w:rFonts w:ascii="黑体" w:hAnsi="黑体" w:eastAsia="黑体"/>
          <w:sz w:val="32"/>
          <w:szCs w:val="32"/>
          <w:u w:val="none"/>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w:t>
      </w:r>
      <w:r>
        <w:rPr>
          <w:rFonts w:hint="eastAsia"/>
          <w:sz w:val="32"/>
          <w:szCs w:val="32"/>
        </w:rPr>
        <w:t xml:space="preserve"> </w:t>
      </w:r>
      <w:r>
        <w:rPr>
          <w:rFonts w:hint="eastAsia" w:ascii="仿宋_GB2312" w:hAnsi="黑体" w:eastAsia="仿宋_GB2312" w:cs="仿宋_GB2312"/>
          <w:sz w:val="32"/>
          <w:szCs w:val="32"/>
        </w:rPr>
        <w:t>海南省第二中级人民法院审判综合楼城市基础设施配套费项目</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预算安排</w:t>
      </w:r>
      <w:r>
        <w:rPr>
          <w:rFonts w:hint="eastAsia" w:ascii="仿宋_GB2312" w:hAnsi="黑体" w:eastAsia="仿宋_GB2312" w:cs="仿宋_GB2312"/>
          <w:sz w:val="32"/>
          <w:szCs w:val="32"/>
          <w:lang w:val="en-US" w:eastAsia="zh-CN"/>
        </w:rPr>
        <w:t>175.01</w:t>
      </w:r>
      <w:r>
        <w:rPr>
          <w:rFonts w:hint="eastAsia" w:ascii="仿宋_GB2312" w:hAnsi="黑体" w:eastAsia="仿宋_GB2312" w:cs="仿宋_GB2312"/>
          <w:sz w:val="32"/>
          <w:szCs w:val="32"/>
        </w:rPr>
        <w:t>万元，偿还审判综合楼项目欠缴儋州市人民政府的城市基础设施配套费。绩效目标是严格执行相关政策，保障及时足额</w:t>
      </w:r>
      <w:r>
        <w:rPr>
          <w:rFonts w:hint="eastAsia" w:ascii="仿宋_GB2312" w:hAnsi="黑体" w:eastAsia="仿宋_GB2312" w:cs="仿宋_GB2312"/>
          <w:sz w:val="32"/>
          <w:szCs w:val="32"/>
          <w:lang w:eastAsia="zh-CN"/>
        </w:rPr>
        <w:t>支付。</w:t>
      </w: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center"/>
        <w:outlineLvl w:val="0"/>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黑体" w:eastAsia="仿宋_GB2312" w:cs="仿宋_GB2312"/>
          <w:sz w:val="32"/>
          <w:szCs w:val="32"/>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r>
        <w:rPr>
          <w:rFonts w:hint="eastAsia" w:ascii="仿宋_GB2312" w:hAnsi="黑体" w:eastAsia="仿宋_GB2312" w:cs="仿宋_GB2312"/>
          <w:sz w:val="32"/>
          <w:szCs w:val="32"/>
          <w:u w:val="none"/>
          <w:lang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Microsoft YaHei">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rial">
    <w:altName w:val="DejaVu San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407FD6"/>
    <w:multiLevelType w:val="singleLevel"/>
    <w:tmpl w:val="1C407FD6"/>
    <w:lvl w:ilvl="0" w:tentative="0">
      <w:start w:val="3"/>
      <w:numFmt w:val="chineseCounting"/>
      <w:suff w:val="space"/>
      <w:lvlText w:val="第%1部分"/>
      <w:lvlJc w:val="left"/>
      <w:rPr>
        <w:rFonts w:hint="eastAsia"/>
      </w:r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trackRevisions w:val="true"/>
  <w:documentProtection w:enforcement="0"/>
  <w:defaultTabStop w:val="420"/>
  <w:drawingGridHorizontalSpacing w:val="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334B"/>
    <w:rsid w:val="01705CC9"/>
    <w:rsid w:val="017218F9"/>
    <w:rsid w:val="02125265"/>
    <w:rsid w:val="02E8425C"/>
    <w:rsid w:val="07B23486"/>
    <w:rsid w:val="09C90507"/>
    <w:rsid w:val="09F8001F"/>
    <w:rsid w:val="0ADC6E13"/>
    <w:rsid w:val="0AEB3F4B"/>
    <w:rsid w:val="0B0206A5"/>
    <w:rsid w:val="0B5964B9"/>
    <w:rsid w:val="1362351C"/>
    <w:rsid w:val="14D61855"/>
    <w:rsid w:val="1AB55DFA"/>
    <w:rsid w:val="1BD81780"/>
    <w:rsid w:val="1E141449"/>
    <w:rsid w:val="1FF9157E"/>
    <w:rsid w:val="20FA152F"/>
    <w:rsid w:val="21E354C9"/>
    <w:rsid w:val="23C6268E"/>
    <w:rsid w:val="26221734"/>
    <w:rsid w:val="275213AF"/>
    <w:rsid w:val="29094B16"/>
    <w:rsid w:val="2975152E"/>
    <w:rsid w:val="2A071167"/>
    <w:rsid w:val="2CFFD3C3"/>
    <w:rsid w:val="2D274D5B"/>
    <w:rsid w:val="2DF456F3"/>
    <w:rsid w:val="2DF45E48"/>
    <w:rsid w:val="2FBF19B9"/>
    <w:rsid w:val="32667B8E"/>
    <w:rsid w:val="334F72B9"/>
    <w:rsid w:val="33705D12"/>
    <w:rsid w:val="33C5051D"/>
    <w:rsid w:val="35C21F89"/>
    <w:rsid w:val="36032749"/>
    <w:rsid w:val="37DF1B78"/>
    <w:rsid w:val="3D7508CB"/>
    <w:rsid w:val="3D90142A"/>
    <w:rsid w:val="3EF44402"/>
    <w:rsid w:val="3F810437"/>
    <w:rsid w:val="44626D13"/>
    <w:rsid w:val="4538730B"/>
    <w:rsid w:val="460501FB"/>
    <w:rsid w:val="47AF2BA8"/>
    <w:rsid w:val="47B2317E"/>
    <w:rsid w:val="49D8217A"/>
    <w:rsid w:val="49FA2EFD"/>
    <w:rsid w:val="4AAA0DAB"/>
    <w:rsid w:val="4B0B7E5A"/>
    <w:rsid w:val="4C403000"/>
    <w:rsid w:val="4C7B00B5"/>
    <w:rsid w:val="4E072C2B"/>
    <w:rsid w:val="4FBE6AD3"/>
    <w:rsid w:val="50E6555E"/>
    <w:rsid w:val="519400EE"/>
    <w:rsid w:val="526B16D2"/>
    <w:rsid w:val="53414A96"/>
    <w:rsid w:val="543F6CCC"/>
    <w:rsid w:val="55B86629"/>
    <w:rsid w:val="56352C4D"/>
    <w:rsid w:val="56A33140"/>
    <w:rsid w:val="597A6C7F"/>
    <w:rsid w:val="5DA1049C"/>
    <w:rsid w:val="5DA84340"/>
    <w:rsid w:val="5EEC04E0"/>
    <w:rsid w:val="5F690E04"/>
    <w:rsid w:val="5F6D571B"/>
    <w:rsid w:val="5FDA7D01"/>
    <w:rsid w:val="608E04C3"/>
    <w:rsid w:val="6390754A"/>
    <w:rsid w:val="63C774AA"/>
    <w:rsid w:val="64922A89"/>
    <w:rsid w:val="66E22236"/>
    <w:rsid w:val="67BDBE8B"/>
    <w:rsid w:val="69023F6D"/>
    <w:rsid w:val="692F788B"/>
    <w:rsid w:val="697B79DE"/>
    <w:rsid w:val="6A0B7EBB"/>
    <w:rsid w:val="6A9B6B96"/>
    <w:rsid w:val="6AFB170B"/>
    <w:rsid w:val="6B4D5B77"/>
    <w:rsid w:val="6B921867"/>
    <w:rsid w:val="6BED6A44"/>
    <w:rsid w:val="6F7070DA"/>
    <w:rsid w:val="6FD57FD9"/>
    <w:rsid w:val="6FDB1131"/>
    <w:rsid w:val="702B2B3C"/>
    <w:rsid w:val="704960D0"/>
    <w:rsid w:val="707D5083"/>
    <w:rsid w:val="71FF5A0A"/>
    <w:rsid w:val="72294142"/>
    <w:rsid w:val="73CF45A9"/>
    <w:rsid w:val="74776865"/>
    <w:rsid w:val="75076500"/>
    <w:rsid w:val="7BF736D2"/>
    <w:rsid w:val="7DD16C6A"/>
    <w:rsid w:val="7EC60EFA"/>
    <w:rsid w:val="7EFDD520"/>
    <w:rsid w:val="7FAAE0CC"/>
    <w:rsid w:val="7FFFDC33"/>
    <w:rsid w:val="A7AF5002"/>
    <w:rsid w:val="ABBF3834"/>
    <w:rsid w:val="AFFF7822"/>
    <w:rsid w:val="BA7B23C6"/>
    <w:rsid w:val="BDDF62BC"/>
    <w:rsid w:val="D3DA912A"/>
    <w:rsid w:val="D97F626E"/>
    <w:rsid w:val="EF4F270F"/>
    <w:rsid w:val="EF672157"/>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4</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2017-02-07T23:31:00Z</dcterms:created>
  <dc:creator>null,null,总收发</dc:creator>
  <cp:lastModifiedBy>greatwall</cp:lastModifiedBy>
  <cp:lastPrinted>2024-01-23T22:59:00Z</cp:lastPrinted>
  <dcterms:modified xsi:type="dcterms:W3CDTF">2024-02-01T09:51:00Z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